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9E73B" w14:textId="595D3EFB" w:rsidR="00105689" w:rsidRPr="00DC72A0" w:rsidRDefault="00105689" w:rsidP="00105689">
      <w:pPr>
        <w:pStyle w:val="Header"/>
        <w:tabs>
          <w:tab w:val="left" w:pos="6521"/>
        </w:tabs>
        <w:rPr>
          <w:lang w:val="de-DE"/>
        </w:rPr>
      </w:pPr>
      <w:r w:rsidRPr="00F52730">
        <w:rPr>
          <w:rFonts w:cs="Arial"/>
          <w:bCs/>
          <w:noProof w:val="0"/>
          <w:color w:val="000000"/>
          <w:sz w:val="24"/>
          <w:szCs w:val="24"/>
          <w:lang w:val="de-DE"/>
        </w:rPr>
        <w:t>3GPP TSG RAN WG1 Ad-Hoc Meeting 1901</w:t>
      </w:r>
      <w:r w:rsidRPr="00C2757D">
        <w:rPr>
          <w:rFonts w:cs="Arial"/>
          <w:bCs/>
          <w:noProof w:val="0"/>
          <w:color w:val="000000"/>
          <w:sz w:val="24"/>
          <w:szCs w:val="24"/>
          <w:lang w:val="de-DE"/>
        </w:rPr>
        <w:t xml:space="preserve"> </w:t>
      </w:r>
      <w:r w:rsidRPr="00C2757D">
        <w:rPr>
          <w:b w:val="0"/>
          <w:noProof w:val="0"/>
          <w:color w:val="000000"/>
          <w:sz w:val="24"/>
          <w:szCs w:val="24"/>
          <w:lang w:val="de-DE"/>
        </w:rPr>
        <w:tab/>
        <w:t xml:space="preserve">              </w:t>
      </w:r>
      <w:r w:rsidR="002F14E1" w:rsidRPr="002F14E1">
        <w:rPr>
          <w:noProof w:val="0"/>
          <w:color w:val="000000"/>
          <w:sz w:val="24"/>
          <w:szCs w:val="24"/>
          <w:lang w:val="de-DE" w:eastAsia="ko-KR"/>
        </w:rPr>
        <w:t>R1-1901063</w:t>
      </w:r>
    </w:p>
    <w:p w14:paraId="4FE88EDC" w14:textId="77777777" w:rsidR="00105689" w:rsidRPr="005E0AC4" w:rsidRDefault="00105689" w:rsidP="00105689">
      <w:pPr>
        <w:pStyle w:val="Header"/>
        <w:spacing w:after="240"/>
        <w:rPr>
          <w:noProof w:val="0"/>
          <w:color w:val="000000"/>
          <w:sz w:val="24"/>
          <w:szCs w:val="24"/>
          <w:lang w:val="en-US" w:eastAsia="ko-KR"/>
        </w:rPr>
      </w:pPr>
      <w:r w:rsidRPr="00F52730">
        <w:rPr>
          <w:rFonts w:eastAsia="Batang" w:cs="Arial"/>
          <w:bCs/>
          <w:color w:val="000000"/>
          <w:sz w:val="24"/>
          <w:szCs w:val="24"/>
          <w:lang w:val="de-DE" w:eastAsia="ko-KR"/>
        </w:rPr>
        <w:t>Taipei, Taiwan, 21</w:t>
      </w:r>
      <w:r w:rsidRPr="00105689">
        <w:rPr>
          <w:rFonts w:eastAsia="Batang" w:cs="Arial"/>
          <w:bCs/>
          <w:color w:val="000000"/>
          <w:sz w:val="24"/>
          <w:szCs w:val="24"/>
          <w:vertAlign w:val="superscript"/>
          <w:lang w:val="de-DE" w:eastAsia="ko-KR"/>
        </w:rPr>
        <w:t>st</w:t>
      </w:r>
      <w:r w:rsidRPr="00F52730">
        <w:rPr>
          <w:rFonts w:eastAsia="Batang" w:cs="Arial"/>
          <w:bCs/>
          <w:color w:val="000000"/>
          <w:sz w:val="24"/>
          <w:szCs w:val="24"/>
          <w:lang w:val="de-DE" w:eastAsia="ko-KR"/>
        </w:rPr>
        <w:t xml:space="preserve"> – 25</w:t>
      </w:r>
      <w:r w:rsidRPr="00105689">
        <w:rPr>
          <w:rFonts w:eastAsia="Batang" w:cs="Arial"/>
          <w:bCs/>
          <w:color w:val="000000"/>
          <w:sz w:val="24"/>
          <w:szCs w:val="24"/>
          <w:vertAlign w:val="superscript"/>
          <w:lang w:val="de-DE" w:eastAsia="ko-KR"/>
        </w:rPr>
        <w:t>th</w:t>
      </w:r>
      <w:r w:rsidRPr="00F52730">
        <w:rPr>
          <w:rFonts w:eastAsia="Batang" w:cs="Arial"/>
          <w:bCs/>
          <w:color w:val="000000"/>
          <w:sz w:val="24"/>
          <w:szCs w:val="24"/>
          <w:lang w:val="de-DE" w:eastAsia="ko-KR"/>
        </w:rPr>
        <w:t xml:space="preserve"> January, 2019</w:t>
      </w:r>
    </w:p>
    <w:p w14:paraId="75CD537F" w14:textId="6981A4C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8F63FF">
        <w:rPr>
          <w:rFonts w:ascii="Arial" w:hAnsi="Arial"/>
          <w:sz w:val="24"/>
          <w:lang w:eastAsia="ko-KR"/>
        </w:rPr>
        <w:t>7.2.5.1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95125A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943EB" w:rsidRPr="004943EB">
        <w:rPr>
          <w:rFonts w:ascii="Arial" w:hAnsi="Arial"/>
          <w:sz w:val="24"/>
        </w:rPr>
        <w:t>Cross-link interference measurements and reporting at a UE</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43DB6C27" w:rsidR="00FE5E3A" w:rsidRDefault="008F63FF" w:rsidP="00DA0F6B">
      <w:pPr>
        <w:pStyle w:val="Style1"/>
      </w:pPr>
      <w:r w:rsidRPr="008F63FF">
        <w:t xml:space="preserve">A new </w:t>
      </w:r>
      <w:r>
        <w:t>work</w:t>
      </w:r>
      <w:r w:rsidRPr="008F63FF">
        <w:t xml:space="preserve"> item on “Cross Link Interference (CLI) handling and Remote Interference Management (RIM) for NR” was approved in RAN#8</w:t>
      </w:r>
      <w:r>
        <w:t>2</w:t>
      </w:r>
      <w:r w:rsidRPr="008F63FF">
        <w:t xml:space="preserve"> [1] and the objectives of this study item are identified as follows.</w:t>
      </w:r>
      <w:r>
        <w:t xml:space="preserve"> </w:t>
      </w:r>
    </w:p>
    <w:p w14:paraId="372B7DBB" w14:textId="77777777" w:rsidR="008F63FF" w:rsidRDefault="008F63FF" w:rsidP="008F63FF">
      <w:pPr>
        <w:spacing w:after="0"/>
        <w:rPr>
          <w:bCs/>
          <w:lang w:eastAsia="ko-KR"/>
        </w:rPr>
      </w:pPr>
      <w:r>
        <w:rPr>
          <w:bCs/>
          <w:lang w:eastAsia="ko-KR"/>
        </w:rPr>
        <w:t xml:space="preserve">The detailed objectives for cross-link interference mitigation to support flexible resource adaptation for unpaired NR cells are: </w:t>
      </w:r>
    </w:p>
    <w:p w14:paraId="1A833DB0" w14:textId="77777777" w:rsidR="008F63FF" w:rsidRDefault="008F63FF" w:rsidP="008F63FF">
      <w:pPr>
        <w:numPr>
          <w:ilvl w:val="0"/>
          <w:numId w:val="19"/>
        </w:numPr>
        <w:overflowPunct w:val="0"/>
        <w:autoSpaceDE w:val="0"/>
        <w:autoSpaceDN w:val="0"/>
        <w:adjustRightInd w:val="0"/>
        <w:spacing w:after="0"/>
        <w:textAlignment w:val="baseline"/>
      </w:pPr>
      <w:r w:rsidRPr="00F333D1">
        <w:t>Specify cross-link interference</w:t>
      </w:r>
      <w:r>
        <w:t xml:space="preserve"> </w:t>
      </w:r>
      <w:r w:rsidRPr="00F333D1">
        <w:t xml:space="preserve">measurements </w:t>
      </w:r>
      <w:r>
        <w:t xml:space="preserve">and reporting </w:t>
      </w:r>
      <w:r w:rsidRPr="00F333D1">
        <w:t xml:space="preserve">at a UE (e.g., CLI-RSSI </w:t>
      </w:r>
      <w:r>
        <w:t>and/</w:t>
      </w:r>
      <w:r w:rsidRPr="00F333D1">
        <w:t>or CLI-RSRP)</w:t>
      </w:r>
      <w:r>
        <w:t xml:space="preserve"> </w:t>
      </w:r>
      <w:r w:rsidRPr="00F333D1">
        <w:t xml:space="preserve">[RAN1, </w:t>
      </w:r>
      <w:r>
        <w:t xml:space="preserve">RAN2, </w:t>
      </w:r>
      <w:r w:rsidRPr="00F333D1">
        <w:t>RAN4]</w:t>
      </w:r>
      <w:r>
        <w:t xml:space="preserve"> </w:t>
      </w:r>
    </w:p>
    <w:p w14:paraId="37E238BE" w14:textId="77777777" w:rsidR="008F63FF" w:rsidRPr="00F333D1" w:rsidRDefault="008F63FF" w:rsidP="008F63FF">
      <w:pPr>
        <w:numPr>
          <w:ilvl w:val="0"/>
          <w:numId w:val="19"/>
        </w:numPr>
        <w:overflowPunct w:val="0"/>
        <w:autoSpaceDE w:val="0"/>
        <w:autoSpaceDN w:val="0"/>
        <w:adjustRightInd w:val="0"/>
        <w:spacing w:after="0"/>
        <w:textAlignment w:val="baseline"/>
      </w:pPr>
      <w:r w:rsidRPr="00F333D1">
        <w:t>Specify network coordination mechanism(s) including at least exchange of intended DL/UL configuration [RAN1, RAN3]</w:t>
      </w:r>
    </w:p>
    <w:p w14:paraId="7CA7A683" w14:textId="77777777" w:rsidR="008F63FF" w:rsidRDefault="008F63FF" w:rsidP="008F63FF">
      <w:pPr>
        <w:numPr>
          <w:ilvl w:val="0"/>
          <w:numId w:val="19"/>
        </w:numPr>
        <w:overflowPunct w:val="0"/>
        <w:autoSpaceDE w:val="0"/>
        <w:autoSpaceDN w:val="0"/>
        <w:adjustRightInd w:val="0"/>
        <w:spacing w:after="0"/>
        <w:textAlignment w:val="baseline"/>
      </w:pPr>
      <w:r>
        <w:t>Perform coexistence study to identify conditions of coexistence among different operators in adjacent channels [RAN4]</w:t>
      </w:r>
    </w:p>
    <w:p w14:paraId="46ABF975" w14:textId="77777777" w:rsidR="008F63FF" w:rsidRPr="00F333D1" w:rsidRDefault="008F63FF" w:rsidP="008F63FF">
      <w:pPr>
        <w:numPr>
          <w:ilvl w:val="1"/>
          <w:numId w:val="19"/>
        </w:numPr>
        <w:overflowPunct w:val="0"/>
        <w:autoSpaceDE w:val="0"/>
        <w:autoSpaceDN w:val="0"/>
        <w:adjustRightInd w:val="0"/>
        <w:spacing w:after="0"/>
        <w:textAlignment w:val="baseline"/>
      </w:pPr>
      <w:r w:rsidRPr="00D344CB">
        <w:t xml:space="preserve">Target </w:t>
      </w:r>
      <w:r>
        <w:t>no</w:t>
      </w:r>
      <w:r w:rsidRPr="00D344CB">
        <w:t xml:space="preserve"> or very minimal impact on RF requirement</w:t>
      </w:r>
    </w:p>
    <w:p w14:paraId="18686A26" w14:textId="7EEB788B" w:rsidR="00D569E7" w:rsidRDefault="003677DC" w:rsidP="008F63FF">
      <w:pPr>
        <w:pStyle w:val="Style1"/>
        <w:spacing w:before="240"/>
      </w:pPr>
      <w:r>
        <w:t>In this contributi</w:t>
      </w:r>
      <w:r w:rsidR="004741CC">
        <w:t xml:space="preserve">on, we </w:t>
      </w:r>
      <w:r w:rsidR="004943EB">
        <w:t>discuss</w:t>
      </w:r>
      <w:r w:rsidR="004741CC">
        <w:t xml:space="preserve"> </w:t>
      </w:r>
      <w:r w:rsidR="004943EB" w:rsidRPr="004943EB">
        <w:t>cross-link interference measurements and reporting at a UE</w:t>
      </w:r>
      <w:r>
        <w:t xml:space="preserve">. </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79F093EA" w14:textId="6812D97F" w:rsidR="00292E27" w:rsidRDefault="00635324" w:rsidP="00C9191F">
      <w:pPr>
        <w:pStyle w:val="Style1"/>
      </w:pPr>
      <w:r>
        <w:t>CLI</w:t>
      </w:r>
      <w:r w:rsidR="0009402F">
        <w:t xml:space="preserve"> </w:t>
      </w:r>
      <w:r w:rsidR="009F45AB">
        <w:t xml:space="preserve">issues were studied for LTE </w:t>
      </w:r>
      <w:proofErr w:type="spellStart"/>
      <w:r w:rsidR="009F45AB">
        <w:t>eIMTA</w:t>
      </w:r>
      <w:proofErr w:type="spellEnd"/>
      <w:r w:rsidR="009F45AB">
        <w:t xml:space="preserve"> and certain mitigation te</w:t>
      </w:r>
      <w:r w:rsidR="00BB769A">
        <w:t>chniques were standardized, including</w:t>
      </w:r>
      <w:r w:rsidR="009F45AB">
        <w:t xml:space="preserve"> semi-static adaptive configurations of fixed and flexible </w:t>
      </w:r>
      <w:proofErr w:type="spellStart"/>
      <w:r w:rsidR="009F45AB">
        <w:t>subframe</w:t>
      </w:r>
      <w:proofErr w:type="spellEnd"/>
      <w:r w:rsidR="009F45AB">
        <w:t xml:space="preserve"> sets (maximum rate of once every 10ms), and </w:t>
      </w:r>
      <w:proofErr w:type="spellStart"/>
      <w:r w:rsidR="009F45AB">
        <w:t>subframe</w:t>
      </w:r>
      <w:proofErr w:type="spellEnd"/>
      <w:r w:rsidR="009F45AB">
        <w:t xml:space="preserve"> set specific UL power control and DL CSI measurement. NR is expected to support deployment scenarios supported by LTE, hence the techniques s</w:t>
      </w:r>
      <w:r w:rsidR="009E5000">
        <w:t xml:space="preserve">tandardized for LTE </w:t>
      </w:r>
      <w:proofErr w:type="spellStart"/>
      <w:r w:rsidR="009E5000">
        <w:t>eIMTA</w:t>
      </w:r>
      <w:proofErr w:type="spellEnd"/>
      <w:r w:rsidR="009E5000">
        <w:t xml:space="preserve"> should naturally be</w:t>
      </w:r>
      <w:r w:rsidR="009F45AB">
        <w:t xml:space="preserve"> the starting point for NR</w:t>
      </w:r>
      <w:r w:rsidR="009E5000">
        <w:t>, particularly for the scenarios where the transmission direction of time resources is still changing semi-statically over time</w:t>
      </w:r>
      <w:r w:rsidR="009F45AB">
        <w:t>.</w:t>
      </w:r>
      <w:r w:rsidR="00C9191F">
        <w:t xml:space="preserve"> </w:t>
      </w:r>
    </w:p>
    <w:p w14:paraId="04BD1184" w14:textId="4803B47E" w:rsidR="00B5171E" w:rsidRDefault="00292E27" w:rsidP="00414844">
      <w:pPr>
        <w:pStyle w:val="Style1"/>
      </w:pPr>
      <w:r>
        <w:t xml:space="preserve">When the </w:t>
      </w:r>
      <w:r w:rsidR="004D3106">
        <w:t>transmission direction of time resources</w:t>
      </w:r>
      <w:r>
        <w:t xml:space="preserve"> can dynamically change over time</w:t>
      </w:r>
      <w:r w:rsidR="004D3106">
        <w:t>,</w:t>
      </w:r>
      <w:r>
        <w:t xml:space="preserve"> further enhancement would be </w:t>
      </w:r>
      <w:r w:rsidR="00687C73">
        <w:t>beneficial</w:t>
      </w:r>
      <w:r>
        <w:t xml:space="preserve"> to handle the </w:t>
      </w:r>
      <w:r w:rsidR="00BB769A">
        <w:t xml:space="preserve">resulting </w:t>
      </w:r>
      <w:r>
        <w:t xml:space="preserve">dynamic </w:t>
      </w:r>
      <w:r w:rsidR="00635324">
        <w:t>CLI</w:t>
      </w:r>
      <w:r w:rsidR="00771DCC">
        <w:t xml:space="preserve"> and</w:t>
      </w:r>
      <w:r>
        <w:t xml:space="preserve"> </w:t>
      </w:r>
      <w:r w:rsidR="00771DCC">
        <w:t>n</w:t>
      </w:r>
      <w:r>
        <w:t xml:space="preserve">etwork coordination </w:t>
      </w:r>
      <w:r w:rsidR="00BB769A">
        <w:t xml:space="preserve">will remain an important </w:t>
      </w:r>
      <w:r w:rsidR="00813CA4">
        <w:t>tool for NR</w:t>
      </w:r>
      <w:r w:rsidR="00BB769A">
        <w:t xml:space="preserve">. As </w:t>
      </w:r>
      <w:r w:rsidR="00A06DC6">
        <w:t>discussed in [</w:t>
      </w:r>
      <w:r w:rsidR="008A35C1">
        <w:t>2</w:t>
      </w:r>
      <w:r w:rsidR="00A06DC6">
        <w:t>]</w:t>
      </w:r>
      <w:r w:rsidR="00706224">
        <w:t>,</w:t>
      </w:r>
      <w:r w:rsidR="006B41B2">
        <w:t xml:space="preserve"> </w:t>
      </w:r>
      <w:r w:rsidR="00635324">
        <w:t>CLI</w:t>
      </w:r>
      <w:r w:rsidR="006B41B2">
        <w:t xml:space="preserve"> generally depends on the scheduler decision and UE locations.</w:t>
      </w:r>
      <w:r w:rsidR="00414844">
        <w:t xml:space="preserve"> </w:t>
      </w:r>
      <w:r w:rsidR="00706224">
        <w:t xml:space="preserve">A </w:t>
      </w:r>
      <w:r w:rsidR="004C4AB8">
        <w:t>possible</w:t>
      </w:r>
      <w:r w:rsidR="00706224">
        <w:t xml:space="preserve"> approach to mitigate </w:t>
      </w:r>
      <w:r w:rsidR="00635324">
        <w:t>CLI</w:t>
      </w:r>
      <w:r w:rsidR="00706224">
        <w:t xml:space="preserve"> </w:t>
      </w:r>
      <w:r w:rsidR="004C4AB8">
        <w:t>is</w:t>
      </w:r>
      <w:r w:rsidR="00706224">
        <w:t xml:space="preserve"> to identify the victim and the aggressor nodes</w:t>
      </w:r>
      <w:r w:rsidR="00813CA4">
        <w:t>,</w:t>
      </w:r>
      <w:r w:rsidR="00706224">
        <w:t xml:space="preserve"> and </w:t>
      </w:r>
      <w:r w:rsidR="00813CA4">
        <w:t xml:space="preserve">subsequently </w:t>
      </w:r>
      <w:r w:rsidR="00706224">
        <w:t xml:space="preserve">schedule the transmission/reception </w:t>
      </w:r>
      <w:r w:rsidR="00813CA4">
        <w:t xml:space="preserve">activities </w:t>
      </w:r>
      <w:r w:rsidR="00706224">
        <w:t xml:space="preserve">of </w:t>
      </w:r>
      <w:r w:rsidR="0094033C">
        <w:t xml:space="preserve">either </w:t>
      </w:r>
      <w:r w:rsidR="00706224">
        <w:t>the victims</w:t>
      </w:r>
      <w:r w:rsidR="0094033C">
        <w:t xml:space="preserve"> or</w:t>
      </w:r>
      <w:r w:rsidR="00706224">
        <w:t xml:space="preserve"> the aggressors </w:t>
      </w:r>
      <w:r w:rsidR="00FF3B9E">
        <w:t>nodes (or both)</w:t>
      </w:r>
      <w:r w:rsidR="00C8048D">
        <w:t xml:space="preserve"> </w:t>
      </w:r>
      <w:r w:rsidR="00706224">
        <w:t xml:space="preserve">in protected </w:t>
      </w:r>
      <w:r w:rsidR="00322832">
        <w:t xml:space="preserve">time </w:t>
      </w:r>
      <w:r w:rsidR="00C8048D">
        <w:t>resources</w:t>
      </w:r>
      <w:r w:rsidR="00813CA4">
        <w:t xml:space="preserve"> (NR fixed </w:t>
      </w:r>
      <w:r w:rsidR="00322832">
        <w:t xml:space="preserve">time </w:t>
      </w:r>
      <w:r w:rsidR="00C8048D">
        <w:t>resources</w:t>
      </w:r>
      <w:r w:rsidR="00813CA4">
        <w:t xml:space="preserve">) with semi-statically configured </w:t>
      </w:r>
      <w:r w:rsidR="00C8048D">
        <w:t>transmission direction</w:t>
      </w:r>
      <w:r w:rsidR="00706224">
        <w:t xml:space="preserve"> (analogous to the fixed </w:t>
      </w:r>
      <w:proofErr w:type="spellStart"/>
      <w:r w:rsidR="00706224">
        <w:t>subfram</w:t>
      </w:r>
      <w:r w:rsidR="00813CA4">
        <w:t>e</w:t>
      </w:r>
      <w:proofErr w:type="spellEnd"/>
      <w:r w:rsidR="00813CA4">
        <w:t xml:space="preserve"> for </w:t>
      </w:r>
      <w:proofErr w:type="spellStart"/>
      <w:r w:rsidR="00813CA4">
        <w:t>eIMTA</w:t>
      </w:r>
      <w:proofErr w:type="spellEnd"/>
      <w:r w:rsidR="00813CA4">
        <w:t xml:space="preserve">) and the rest in non-protected </w:t>
      </w:r>
      <w:r w:rsidR="00322832">
        <w:t xml:space="preserve">time </w:t>
      </w:r>
      <w:r w:rsidR="00C8048D">
        <w:t>resource</w:t>
      </w:r>
      <w:r w:rsidR="00813CA4">
        <w:t xml:space="preserve"> (NR flexible </w:t>
      </w:r>
      <w:r w:rsidR="00322832">
        <w:t xml:space="preserve">time </w:t>
      </w:r>
      <w:r w:rsidR="00C8048D">
        <w:t>resources</w:t>
      </w:r>
      <w:r w:rsidR="00813CA4">
        <w:t xml:space="preserve">) where </w:t>
      </w:r>
      <w:r w:rsidR="00C8048D">
        <w:t>transmission direction</w:t>
      </w:r>
      <w:r w:rsidR="00813CA4">
        <w:t xml:space="preserve"> can dynamically change (analogous to the flexible </w:t>
      </w:r>
      <w:proofErr w:type="spellStart"/>
      <w:r w:rsidR="00813CA4">
        <w:t>subframe</w:t>
      </w:r>
      <w:proofErr w:type="spellEnd"/>
      <w:r w:rsidR="00813CA4">
        <w:t xml:space="preserve"> for </w:t>
      </w:r>
      <w:proofErr w:type="spellStart"/>
      <w:r w:rsidR="00813CA4">
        <w:t>eIMTA</w:t>
      </w:r>
      <w:proofErr w:type="spellEnd"/>
      <w:r w:rsidR="00813CA4">
        <w:t>).</w:t>
      </w:r>
      <w:r w:rsidR="00706224">
        <w:t xml:space="preserve"> </w:t>
      </w:r>
      <w:r w:rsidR="00813CA4">
        <w:t xml:space="preserve">The set of NR fixed </w:t>
      </w:r>
      <w:r w:rsidR="00322832">
        <w:t xml:space="preserve">time </w:t>
      </w:r>
      <w:r w:rsidR="00C8048D">
        <w:t>resources</w:t>
      </w:r>
      <w:r w:rsidR="00813CA4">
        <w:t xml:space="preserve"> and NR flexible</w:t>
      </w:r>
      <w:r w:rsidR="00322832">
        <w:t xml:space="preserve"> time</w:t>
      </w:r>
      <w:r w:rsidR="00813CA4">
        <w:t xml:space="preserve"> </w:t>
      </w:r>
      <w:r w:rsidR="00C8048D">
        <w:t>resources</w:t>
      </w:r>
      <w:r w:rsidR="00813CA4">
        <w:t xml:space="preserve"> can </w:t>
      </w:r>
      <w:r w:rsidR="00FF3B9E">
        <w:t xml:space="preserve">be coordinated among the </w:t>
      </w:r>
      <w:proofErr w:type="spellStart"/>
      <w:r w:rsidR="00FF3B9E">
        <w:t>gNBs</w:t>
      </w:r>
      <w:proofErr w:type="spellEnd"/>
      <w:r w:rsidR="00813CA4">
        <w:t xml:space="preserve"> in a semi-static manner. This is illustrated in Figure 1. </w:t>
      </w:r>
      <w:r w:rsidR="00B5171E">
        <w:t>In this regards,</w:t>
      </w:r>
      <w:r w:rsidR="00B5171E" w:rsidRPr="00B5171E">
        <w:t xml:space="preserve"> </w:t>
      </w:r>
      <w:r w:rsidR="00B5171E">
        <w:t>p</w:t>
      </w:r>
      <w:r w:rsidR="00B5171E" w:rsidRPr="00B5171E">
        <w:t>rotected time resources with semi-statically configured transmission direction (NR fixed time resources) can be configured via network coordination for scheduling either the victim or the aggressor nodes to mitigate CLI. The remaining time resource can be utilized for dynamically configured transmission direction (NR flexible time resources).</w:t>
      </w:r>
    </w:p>
    <w:p w14:paraId="4DADCECF" w14:textId="5D661F24" w:rsidR="00813CA4" w:rsidRDefault="00FC4239" w:rsidP="00813CA4">
      <w:pPr>
        <w:pStyle w:val="Style1"/>
        <w:keepNext/>
      </w:pPr>
      <w:r>
        <w:object w:dxaOrig="10255" w:dyaOrig="3767" w14:anchorId="241B6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7.5pt" o:ole="">
            <v:imagedata r:id="rId8" o:title=""/>
          </v:shape>
          <o:OLEObject Type="Embed" ProgID="Visio.Drawing.11" ShapeID="_x0000_i1025" DrawAspect="Content" ObjectID="_1608699307" r:id="rId9"/>
        </w:object>
      </w:r>
    </w:p>
    <w:p w14:paraId="47BF6EAE" w14:textId="063FE976" w:rsidR="00813CA4" w:rsidRDefault="00813CA4" w:rsidP="00813CA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NR fixed </w:t>
      </w:r>
      <w:r w:rsidR="00322832">
        <w:t xml:space="preserve">time </w:t>
      </w:r>
      <w:r w:rsidR="00EE0A81">
        <w:t>resource</w:t>
      </w:r>
      <w:r>
        <w:t xml:space="preserve"> (where </w:t>
      </w:r>
      <w:r w:rsidR="00EE0A81">
        <w:t>transmission direction</w:t>
      </w:r>
      <w:r>
        <w:t xml:space="preserve"> is semi-statically configured) and NR flexible </w:t>
      </w:r>
      <w:r w:rsidR="00322832">
        <w:t xml:space="preserve">time </w:t>
      </w:r>
      <w:r w:rsidR="00EE0A81">
        <w:t>resource</w:t>
      </w:r>
      <w:r>
        <w:t xml:space="preserve"> (where </w:t>
      </w:r>
      <w:r w:rsidR="00EE0A81">
        <w:t>transmission direction</w:t>
      </w:r>
      <w:r>
        <w:t xml:space="preserve"> can dynamically change) </w:t>
      </w:r>
    </w:p>
    <w:p w14:paraId="48F75FC6" w14:textId="227A0915" w:rsidR="007C5999" w:rsidRDefault="00211A84" w:rsidP="0057419F">
      <w:pPr>
        <w:pStyle w:val="Style1"/>
        <w:rPr>
          <w:lang w:eastAsia="ko-KR"/>
        </w:rPr>
      </w:pPr>
      <w:r>
        <w:t xml:space="preserve">In our companion contribution [3], it </w:t>
      </w:r>
      <w:r w:rsidR="009E05C0">
        <w:t>is also</w:t>
      </w:r>
      <w:r>
        <w:t xml:space="preserve"> shown that i</w:t>
      </w:r>
      <w:r w:rsidRPr="00211A84">
        <w:t xml:space="preserve">dentification of victim and aggressor (CLI source) nodes (UEs and </w:t>
      </w:r>
      <w:proofErr w:type="spellStart"/>
      <w:r w:rsidRPr="00211A84">
        <w:t>gNBs</w:t>
      </w:r>
      <w:proofErr w:type="spellEnd"/>
      <w:r w:rsidRPr="00211A84">
        <w:t>) can be beneficial for efficient CLI mitigation through network coordination of measurement resources and measurement at the potential victim node</w:t>
      </w:r>
      <w:r>
        <w:t xml:space="preserve">. </w:t>
      </w:r>
      <w:r w:rsidR="00A06DC6">
        <w:t>To achieve this,</w:t>
      </w:r>
      <w:r w:rsidR="00F5543D">
        <w:t xml:space="preserve"> a measurement signal can be introduced to support </w:t>
      </w:r>
      <w:r w:rsidR="00F5543D" w:rsidRPr="00F5543D">
        <w:rPr>
          <w:lang w:eastAsia="ko-KR"/>
        </w:rPr>
        <w:t>cross-link interference (</w:t>
      </w:r>
      <w:r w:rsidR="00635324">
        <w:rPr>
          <w:lang w:eastAsia="ko-KR"/>
        </w:rPr>
        <w:t>CLI</w:t>
      </w:r>
      <w:r w:rsidR="00F5543D" w:rsidRPr="00F5543D">
        <w:rPr>
          <w:lang w:eastAsia="ko-KR"/>
        </w:rPr>
        <w:t xml:space="preserve">) detection by the </w:t>
      </w:r>
      <w:proofErr w:type="spellStart"/>
      <w:r w:rsidR="00F5543D" w:rsidRPr="00F5543D">
        <w:rPr>
          <w:lang w:eastAsia="ko-KR"/>
        </w:rPr>
        <w:t>gNB</w:t>
      </w:r>
      <w:proofErr w:type="spellEnd"/>
      <w:r w:rsidR="00F5543D" w:rsidRPr="00F5543D">
        <w:rPr>
          <w:lang w:eastAsia="ko-KR"/>
        </w:rPr>
        <w:t xml:space="preserve"> (DL-to-UL </w:t>
      </w:r>
      <w:r w:rsidR="00635324">
        <w:rPr>
          <w:lang w:eastAsia="ko-KR"/>
        </w:rPr>
        <w:t>CLI</w:t>
      </w:r>
      <w:r w:rsidR="00F5543D" w:rsidRPr="00F5543D">
        <w:rPr>
          <w:lang w:eastAsia="ko-KR"/>
        </w:rPr>
        <w:t xml:space="preserve">) and the UE (UL-to-DL </w:t>
      </w:r>
      <w:r w:rsidR="00635324">
        <w:rPr>
          <w:lang w:eastAsia="ko-KR"/>
        </w:rPr>
        <w:t>CLI</w:t>
      </w:r>
      <w:r w:rsidR="00F5543D" w:rsidRPr="00F5543D">
        <w:rPr>
          <w:lang w:eastAsia="ko-KR"/>
        </w:rPr>
        <w:t>)</w:t>
      </w:r>
      <w:r w:rsidR="00FD0496">
        <w:rPr>
          <w:lang w:eastAsia="ko-KR"/>
        </w:rPr>
        <w:t xml:space="preserve"> and identification of the </w:t>
      </w:r>
      <w:r w:rsidR="00635324">
        <w:rPr>
          <w:lang w:eastAsia="ko-KR"/>
        </w:rPr>
        <w:t>CLI</w:t>
      </w:r>
      <w:r w:rsidR="00FD0496">
        <w:rPr>
          <w:lang w:eastAsia="ko-KR"/>
        </w:rPr>
        <w:t xml:space="preserve"> source</w:t>
      </w:r>
      <w:r w:rsidR="00F5543D" w:rsidRPr="00F5543D">
        <w:rPr>
          <w:lang w:eastAsia="ko-KR"/>
        </w:rPr>
        <w:t>.</w:t>
      </w:r>
      <w:r w:rsidR="00D43567">
        <w:rPr>
          <w:lang w:eastAsia="ko-KR"/>
        </w:rPr>
        <w:t xml:space="preserve"> </w:t>
      </w:r>
    </w:p>
    <w:p w14:paraId="41B11B37" w14:textId="2E209818" w:rsidR="00566DA5" w:rsidRDefault="000B32DC" w:rsidP="00504062">
      <w:pPr>
        <w:pStyle w:val="Style1"/>
        <w:ind w:firstLine="0"/>
        <w:rPr>
          <w:i/>
        </w:rPr>
      </w:pPr>
      <w:r w:rsidRPr="00AF1226">
        <w:rPr>
          <w:b/>
          <w:i/>
        </w:rPr>
        <w:t>Proposal</w:t>
      </w:r>
      <w:r w:rsidR="00B67955" w:rsidRPr="00AF1226">
        <w:rPr>
          <w:b/>
          <w:i/>
        </w:rPr>
        <w:t xml:space="preserve"> </w:t>
      </w:r>
      <w:r w:rsidR="00AF1226" w:rsidRPr="00AF1226">
        <w:rPr>
          <w:b/>
          <w:i/>
        </w:rPr>
        <w:t>1</w:t>
      </w:r>
      <w:r w:rsidRPr="00AF1226">
        <w:rPr>
          <w:b/>
          <w:i/>
        </w:rPr>
        <w:t>:</w:t>
      </w:r>
      <w:r w:rsidRPr="00AF1226">
        <w:rPr>
          <w:i/>
        </w:rPr>
        <w:t xml:space="preserve"> </w:t>
      </w:r>
      <w:r w:rsidR="004943EB" w:rsidRPr="004943EB">
        <w:rPr>
          <w:i/>
        </w:rPr>
        <w:t xml:space="preserve">Measurement signal based on existing reference signals should be supported for cross-link interference (CLI) detection and interference source identification by the </w:t>
      </w:r>
      <w:proofErr w:type="spellStart"/>
      <w:r w:rsidR="004943EB" w:rsidRPr="004943EB">
        <w:rPr>
          <w:i/>
        </w:rPr>
        <w:t>gNB</w:t>
      </w:r>
      <w:proofErr w:type="spellEnd"/>
      <w:r w:rsidR="004943EB" w:rsidRPr="004943EB">
        <w:rPr>
          <w:i/>
        </w:rPr>
        <w:t xml:space="preserve"> (DL-to-UL CLI) and the UE (UL-to-DL CLI)</w:t>
      </w:r>
      <w:r w:rsidR="00AF1226" w:rsidRPr="00AF1226">
        <w:rPr>
          <w:i/>
        </w:rPr>
        <w:t>.</w:t>
      </w:r>
    </w:p>
    <w:p w14:paraId="7B2529C2" w14:textId="6512165F" w:rsidR="00FD6A5D" w:rsidRDefault="00FD6A5D" w:rsidP="004A5AD0">
      <w:pPr>
        <w:pStyle w:val="Style1"/>
      </w:pPr>
      <w:r>
        <w:t xml:space="preserve">Candidate reference signal for UE-to-UE CLI measurement include CSI-RS, DMRS and SRS. CSI-RS is only for DL transmitted by </w:t>
      </w:r>
      <w:proofErr w:type="spellStart"/>
      <w:r>
        <w:t>gNB</w:t>
      </w:r>
      <w:proofErr w:type="spellEnd"/>
      <w:r>
        <w:t>. However, ZP CSI-RS can be configured to do rate matching around other reference signals transmitted by the UE to eliminate the DL interference to UE-to-UE CLI measurement. Different from CSI-RS, DMRS can be transmitted by the UE and it can only be transmitted with data. However, a UE normally interferes with other UE when transmitting data. Without data transmission, a UE generate zero or minimum interference. In this regard, DMRS can also be considered for CLI measurement. For SRS, it is a natural choice for CLI measurement. With Comb-structure SRS, the corresponding ZP CSI-RS should also support such Comb-structure if rate matching is needed to avoid DL interference to CLI measurement.</w:t>
      </w:r>
    </w:p>
    <w:p w14:paraId="21D6B5D2" w14:textId="761E4A62" w:rsidR="00FD6A5D" w:rsidRPr="004A5AD0" w:rsidRDefault="00FD6A5D" w:rsidP="00FD6A5D">
      <w:pPr>
        <w:pStyle w:val="Style1"/>
        <w:ind w:firstLine="0"/>
        <w:rPr>
          <w:i/>
        </w:rPr>
      </w:pPr>
      <w:r w:rsidRPr="004A5AD0">
        <w:rPr>
          <w:b/>
          <w:i/>
        </w:rPr>
        <w:t xml:space="preserve">Proposal </w:t>
      </w:r>
      <w:r>
        <w:rPr>
          <w:b/>
          <w:i/>
        </w:rPr>
        <w:t>2</w:t>
      </w:r>
      <w:r w:rsidRPr="004A5AD0">
        <w:rPr>
          <w:b/>
          <w:i/>
        </w:rPr>
        <w:t>:</w:t>
      </w:r>
      <w:r w:rsidRPr="004A5AD0">
        <w:rPr>
          <w:i/>
        </w:rPr>
        <w:t xml:space="preserve"> </w:t>
      </w:r>
      <w:r w:rsidRPr="00FD6A5D">
        <w:rPr>
          <w:i/>
        </w:rPr>
        <w:t xml:space="preserve">Measurement on the SRS and/or DMRS of the interfering </w:t>
      </w:r>
      <w:r>
        <w:rPr>
          <w:i/>
        </w:rPr>
        <w:t>UE</w:t>
      </w:r>
      <w:r w:rsidRPr="00FD6A5D">
        <w:rPr>
          <w:i/>
        </w:rPr>
        <w:t xml:space="preserve"> via ZP CSI-RS should be supported to measure </w:t>
      </w:r>
      <w:r>
        <w:rPr>
          <w:i/>
        </w:rPr>
        <w:t>UE-to-UE</w:t>
      </w:r>
      <w:r w:rsidRPr="00FD6A5D">
        <w:rPr>
          <w:i/>
        </w:rPr>
        <w:t xml:space="preserve"> </w:t>
      </w:r>
      <w:r>
        <w:rPr>
          <w:i/>
        </w:rPr>
        <w:t>CLI</w:t>
      </w:r>
      <w:r w:rsidRPr="004A5AD0">
        <w:rPr>
          <w:i/>
        </w:rPr>
        <w:t>.</w:t>
      </w:r>
    </w:p>
    <w:p w14:paraId="01F130FA" w14:textId="55BE3D2A" w:rsidR="00FD6A5D" w:rsidRDefault="00A32DBC" w:rsidP="004A5AD0">
      <w:pPr>
        <w:pStyle w:val="Style1"/>
      </w:pPr>
      <w:r>
        <w:t>Another issue is if there is a need to enable cell-level or UE group-level UE-to-UE CLI measurement, which will cause potential spec impacts on aspects such as SRS sequence generate, etc. The motivation for such operation is that the number of UEs is significantly larger than the number of network nodes so that the UE level measurement might not be feasible due to such large number. However, the UE transmission power is limited and the most common case is that only the closely surrounding UEs can generate interference strong enough to affect victim UE. The number of closely surrounding UEs should be limited and in this regard, there is no need to enable cell-level or UE group-level CLI measurement.</w:t>
      </w:r>
    </w:p>
    <w:p w14:paraId="5DEAF32B" w14:textId="125CB613" w:rsidR="00A32DBC" w:rsidRPr="002F14E1" w:rsidRDefault="00A32DBC" w:rsidP="002F14E1">
      <w:pPr>
        <w:pStyle w:val="Style1"/>
        <w:ind w:firstLine="0"/>
        <w:rPr>
          <w:b/>
          <w:i/>
        </w:rPr>
      </w:pPr>
      <w:r w:rsidRPr="002F14E1">
        <w:rPr>
          <w:b/>
          <w:i/>
        </w:rPr>
        <w:t xml:space="preserve">Observation 1: </w:t>
      </w:r>
      <w:r w:rsidRPr="002F14E1">
        <w:rPr>
          <w:i/>
        </w:rPr>
        <w:t>The number of UEs generate strong CLI is small and thus there is no need to enable cell-level or UE group-level UE-to-UE CLI measurement.</w:t>
      </w:r>
      <w:r w:rsidRPr="002F14E1">
        <w:rPr>
          <w:b/>
          <w:i/>
        </w:rPr>
        <w:t xml:space="preserve"> </w:t>
      </w:r>
    </w:p>
    <w:p w14:paraId="240AEC08" w14:textId="77777777" w:rsidR="0061075E" w:rsidRDefault="0061075E" w:rsidP="0061075E">
      <w:pPr>
        <w:pStyle w:val="Style1"/>
      </w:pPr>
      <w:r>
        <w:t xml:space="preserve">Due to different distance and propagation latency between </w:t>
      </w:r>
      <w:proofErr w:type="spellStart"/>
      <w:r>
        <w:t>gNB</w:t>
      </w:r>
      <w:proofErr w:type="spellEnd"/>
      <w:r>
        <w:t xml:space="preserve">-to-UE and UE-to-UE, the timing advance of CLI reference signal transmission might not be the same as the TA indicated by the associated </w:t>
      </w:r>
      <w:proofErr w:type="spellStart"/>
      <w:r>
        <w:t>gNB</w:t>
      </w:r>
      <w:proofErr w:type="spellEnd"/>
      <w:r>
        <w:t>. However, measuring TA for the UE-to-UE link increases the complexity of a UE. The TA issue might affect the accuracy of CLI measurement but the impact is expected to be small. Moreover, the benefit of highly accurate CLI measurement is unclear.</w:t>
      </w:r>
    </w:p>
    <w:p w14:paraId="7CA155AE" w14:textId="7CAACC17" w:rsidR="0061075E" w:rsidRPr="002F14E1" w:rsidRDefault="0061075E" w:rsidP="002F14E1">
      <w:pPr>
        <w:pStyle w:val="Style1"/>
        <w:ind w:firstLine="0"/>
        <w:rPr>
          <w:i/>
        </w:rPr>
      </w:pPr>
      <w:r w:rsidRPr="002F14E1">
        <w:rPr>
          <w:b/>
          <w:i/>
        </w:rPr>
        <w:lastRenderedPageBreak/>
        <w:t>Observation 2</w:t>
      </w:r>
      <w:r w:rsidRPr="002F14E1">
        <w:rPr>
          <w:i/>
        </w:rPr>
        <w:t xml:space="preserve">: </w:t>
      </w:r>
      <w:r w:rsidR="005E461E" w:rsidRPr="002F14E1">
        <w:rPr>
          <w:i/>
        </w:rPr>
        <w:t xml:space="preserve">The benefit of adopting </w:t>
      </w:r>
      <w:r w:rsidRPr="002F14E1">
        <w:rPr>
          <w:i/>
        </w:rPr>
        <w:t xml:space="preserve">TA for CLI measurement reference signals </w:t>
      </w:r>
      <w:r w:rsidR="005E461E" w:rsidRPr="002F14E1">
        <w:rPr>
          <w:i/>
        </w:rPr>
        <w:t>is unclear since accuracy loss can be tolerated.</w:t>
      </w:r>
    </w:p>
    <w:p w14:paraId="16DF0AAA" w14:textId="724F5917" w:rsidR="004A5AD0" w:rsidRPr="00B67AE9" w:rsidRDefault="004A5AD0" w:rsidP="004A5AD0">
      <w:pPr>
        <w:pStyle w:val="Style1"/>
      </w:pPr>
      <w:r>
        <w:t xml:space="preserve">A potential specification impact for CLI mitigation is the support of UE measurement of CLI. </w:t>
      </w:r>
      <w:r>
        <w:rPr>
          <w:lang w:eastAsia="ko-KR"/>
        </w:rPr>
        <w:t xml:space="preserve">The NR CSI framework consists of the configurations of resource setting(s), CSI reporting setting(s) and measurement setting. </w:t>
      </w:r>
      <w:r>
        <w:t>The NR CSI framework allows very flexible configuration of measurement resources to reporting content and procedure, which is capable of handling the requirements of MIMO and beam management. RSRP measurement and reporting has been agreed to be supported with the framework and can be metric to configure in the reporting setting for CLI measurement.</w:t>
      </w:r>
      <w:r w:rsidR="009736DA">
        <w:t xml:space="preserve"> Compared to RSSI, the main benefit of RSRP is that the aggressor UE can be identified. With such aggressor information, the </w:t>
      </w:r>
      <w:proofErr w:type="spellStart"/>
      <w:r w:rsidR="009736DA">
        <w:t>gNB</w:t>
      </w:r>
      <w:proofErr w:type="spellEnd"/>
      <w:r w:rsidR="009736DA">
        <w:t xml:space="preserve"> can easily coordinate the scheduling of aggressor and victim UEs to mitigate strong CLI and achieve better performance.</w:t>
      </w:r>
      <w:r w:rsidR="00EA08C7">
        <w:t xml:space="preserve"> If SRS is used for RSRP measurement, it might not be feasible to define the </w:t>
      </w:r>
      <w:r w:rsidR="00EA08C7" w:rsidRPr="00EA08C7">
        <w:t xml:space="preserve">RSRP determination </w:t>
      </w:r>
      <w:r w:rsidR="00EA08C7">
        <w:t xml:space="preserve">to be </w:t>
      </w:r>
      <w:r w:rsidR="00EA08C7" w:rsidRPr="00EA08C7">
        <w:t xml:space="preserve">transmitted on </w:t>
      </w:r>
      <w:r w:rsidR="00EA08C7">
        <w:t xml:space="preserve">a fixed single </w:t>
      </w:r>
      <w:r w:rsidR="00EA08C7" w:rsidRPr="00EA08C7">
        <w:t>antenna port</w:t>
      </w:r>
      <w:r w:rsidR="00EA08C7">
        <w:t xml:space="preserve"> as CSI-RS RSRP. The reason is that multiple panels as well as SRS resource sets are normally implemented/configured at the UE side to avoid blockage, especially for FR2. One antenna port should be chosen from the one of the SRS resource sets</w:t>
      </w:r>
      <w:r w:rsidR="002925FC">
        <w:t>, which might change from time to time.</w:t>
      </w:r>
      <w:r w:rsidR="00EA08C7">
        <w:t xml:space="preserve"> </w:t>
      </w:r>
    </w:p>
    <w:p w14:paraId="3C72D0CF" w14:textId="3E4A2B09" w:rsidR="004A5AD0" w:rsidRDefault="004A5AD0" w:rsidP="004A5AD0">
      <w:pPr>
        <w:pStyle w:val="Style1"/>
        <w:ind w:firstLine="0"/>
        <w:rPr>
          <w:i/>
        </w:rPr>
      </w:pPr>
      <w:r w:rsidRPr="004A5AD0">
        <w:rPr>
          <w:b/>
          <w:i/>
        </w:rPr>
        <w:t xml:space="preserve">Proposal </w:t>
      </w:r>
      <w:r w:rsidR="00EA08C7">
        <w:rPr>
          <w:b/>
          <w:i/>
        </w:rPr>
        <w:t>3</w:t>
      </w:r>
      <w:r w:rsidRPr="004A5AD0">
        <w:rPr>
          <w:b/>
          <w:i/>
        </w:rPr>
        <w:t>:</w:t>
      </w:r>
      <w:r w:rsidRPr="004A5AD0">
        <w:rPr>
          <w:i/>
        </w:rPr>
        <w:t xml:space="preserve"> The measurement metric of CLI-RSRP should be supported and can be configured in the report</w:t>
      </w:r>
      <w:r>
        <w:rPr>
          <w:i/>
        </w:rPr>
        <w:t>ing setting for CLI measurement</w:t>
      </w:r>
      <w:r w:rsidRPr="004A5AD0">
        <w:rPr>
          <w:i/>
        </w:rPr>
        <w:t>.</w:t>
      </w:r>
      <w:r w:rsidR="002925FC">
        <w:rPr>
          <w:i/>
        </w:rPr>
        <w:t xml:space="preserve"> The antenna port for RSRP determination should be further studied.</w:t>
      </w:r>
    </w:p>
    <w:p w14:paraId="0A7F7785" w14:textId="3985527D" w:rsidR="00566DA5" w:rsidRPr="00566DA5" w:rsidRDefault="00566DA5" w:rsidP="00566DA5">
      <w:pPr>
        <w:pStyle w:val="Heading1"/>
        <w:tabs>
          <w:tab w:val="num" w:pos="0"/>
        </w:tabs>
        <w:ind w:left="799" w:hanging="799"/>
      </w:pPr>
      <w:r>
        <w:t xml:space="preserve">Cross-link interference </w:t>
      </w:r>
      <w:r w:rsidR="00AF1226">
        <w:t>mitigation for IAB</w:t>
      </w:r>
    </w:p>
    <w:p w14:paraId="5B6D6E4E" w14:textId="4E407E6C" w:rsidR="00AF1226" w:rsidRDefault="00AF1226" w:rsidP="005960F1">
      <w:pPr>
        <w:pStyle w:val="Style1"/>
      </w:pPr>
      <w:r w:rsidRPr="00AF1226">
        <w:t xml:space="preserve">Integrated access backhaul (IAB) can play an important role in a 5G new radio (NR) network as it can provide enhanced flexibility and improved coverage. A limiting factor of IAB is known as cross-link interference (CLI) which occurs when a downlink IAB node and an uplink IAB node are interfering mutually. </w:t>
      </w:r>
      <w:r>
        <w:t>In the WID description [1], it has been mentioned that CLI m</w:t>
      </w:r>
      <w:r w:rsidRPr="00AF1226">
        <w:t xml:space="preserve">easurement and coordination mechanisms should be applicable to IAB nodes. </w:t>
      </w:r>
      <w:r w:rsidR="004943EB">
        <w:t xml:space="preserve">In particular, four cases will be discussed. It should be noted that the discussion and proposals are not constrained for IAB only but can be extended to general CLI mitigation scenarios in a straightforward manner. </w:t>
      </w:r>
    </w:p>
    <w:p w14:paraId="54CB8FDD" w14:textId="77777777" w:rsidR="00E6255A" w:rsidRDefault="00E6255A" w:rsidP="008D75E7">
      <w:pPr>
        <w:spacing w:before="120" w:line="276" w:lineRule="auto"/>
        <w:ind w:firstLine="360"/>
        <w:jc w:val="both"/>
      </w:pPr>
      <w:r>
        <w:t>In TR38.874 [4], the following inter IAB-node interference scenarios are classified:</w:t>
      </w:r>
    </w:p>
    <w:p w14:paraId="205B0234" w14:textId="77777777" w:rsidR="00E6255A" w:rsidRPr="003F6C5E" w:rsidRDefault="00E6255A" w:rsidP="00E6255A">
      <w:pPr>
        <w:pStyle w:val="ListParagraph"/>
        <w:numPr>
          <w:ilvl w:val="0"/>
          <w:numId w:val="21"/>
        </w:numPr>
        <w:spacing w:before="120" w:line="276" w:lineRule="auto"/>
        <w:ind w:leftChars="0"/>
        <w:jc w:val="both"/>
      </w:pPr>
      <w:r>
        <w:rPr>
          <w:rFonts w:hint="eastAsia"/>
          <w:lang w:eastAsia="ko-KR"/>
        </w:rPr>
        <w:t xml:space="preserve">Case 1: </w:t>
      </w:r>
      <w:r w:rsidRPr="00B94AAB">
        <w:rPr>
          <w:lang w:val="en-US"/>
        </w:rPr>
        <w:t>Victim IAB-node is receiving in DL via its MT, interfering IAB-node is transmitting in UL via its MT</w:t>
      </w:r>
    </w:p>
    <w:p w14:paraId="5E705477" w14:textId="77777777" w:rsidR="00E6255A" w:rsidRPr="003F6C5E" w:rsidRDefault="00E6255A" w:rsidP="00E6255A">
      <w:pPr>
        <w:pStyle w:val="ListParagraph"/>
        <w:numPr>
          <w:ilvl w:val="0"/>
          <w:numId w:val="21"/>
        </w:numPr>
        <w:spacing w:before="120" w:line="276" w:lineRule="auto"/>
        <w:ind w:leftChars="0"/>
        <w:jc w:val="both"/>
      </w:pPr>
      <w:r>
        <w:rPr>
          <w:lang w:val="en-US"/>
        </w:rPr>
        <w:t xml:space="preserve">Case 2: </w:t>
      </w:r>
      <w:r w:rsidRPr="00B94AAB">
        <w:rPr>
          <w:lang w:val="en-US"/>
        </w:rPr>
        <w:t>Victim IAB-node is receiving in DL via its MT, interfering IAB-node is transmitting in DL via its DU</w:t>
      </w:r>
    </w:p>
    <w:p w14:paraId="16652F53" w14:textId="77777777" w:rsidR="00E6255A" w:rsidRPr="003F6C5E" w:rsidRDefault="00E6255A" w:rsidP="00E6255A">
      <w:pPr>
        <w:pStyle w:val="ListParagraph"/>
        <w:numPr>
          <w:ilvl w:val="0"/>
          <w:numId w:val="21"/>
        </w:numPr>
        <w:spacing w:before="120" w:line="276" w:lineRule="auto"/>
        <w:ind w:leftChars="0"/>
        <w:jc w:val="both"/>
      </w:pPr>
      <w:r>
        <w:rPr>
          <w:lang w:val="en-US"/>
        </w:rPr>
        <w:t xml:space="preserve">Case 3: </w:t>
      </w:r>
      <w:r w:rsidRPr="00B94AAB">
        <w:rPr>
          <w:lang w:val="en-US"/>
        </w:rPr>
        <w:t>Victim IAB-node is receiving in UL via its DU, interfering IAB-node is transmitting in UL via its MT</w:t>
      </w:r>
    </w:p>
    <w:p w14:paraId="42D551AD" w14:textId="77777777" w:rsidR="00E6255A" w:rsidRDefault="00E6255A" w:rsidP="00E6255A">
      <w:pPr>
        <w:pStyle w:val="ListParagraph"/>
        <w:numPr>
          <w:ilvl w:val="0"/>
          <w:numId w:val="21"/>
        </w:numPr>
        <w:spacing w:before="120" w:line="276" w:lineRule="auto"/>
        <w:ind w:leftChars="0"/>
        <w:jc w:val="both"/>
      </w:pPr>
      <w:r>
        <w:rPr>
          <w:lang w:val="en-US"/>
        </w:rPr>
        <w:t xml:space="preserve">Case 4: </w:t>
      </w:r>
      <w:r w:rsidRPr="00B94AAB">
        <w:rPr>
          <w:lang w:val="en-US"/>
        </w:rPr>
        <w:t>Victim IAB-node is receiving in UL via its DU, interfering IAB-node is transmitting in DL via its DU</w:t>
      </w:r>
    </w:p>
    <w:p w14:paraId="1B3ED705" w14:textId="77777777" w:rsidR="00E6255A" w:rsidRDefault="00E6255A" w:rsidP="00E6255A">
      <w:pPr>
        <w:pStyle w:val="Style1"/>
      </w:pPr>
    </w:p>
    <w:p w14:paraId="051EE49A" w14:textId="6F0296E3" w:rsidR="004943EB" w:rsidRPr="00674EC0" w:rsidRDefault="004943EB" w:rsidP="00E6255A">
      <w:pPr>
        <w:jc w:val="both"/>
        <w:rPr>
          <w:rFonts w:ascii="Arial" w:hAnsi="Arial" w:cs="Arial"/>
          <w:sz w:val="28"/>
          <w:szCs w:val="28"/>
        </w:rPr>
      </w:pPr>
      <w:r>
        <w:rPr>
          <w:rFonts w:ascii="Arial" w:hAnsi="Arial" w:cs="Arial"/>
          <w:sz w:val="28"/>
          <w:szCs w:val="28"/>
        </w:rPr>
        <w:t>3.1 Case 1 and Case 2</w:t>
      </w:r>
    </w:p>
    <w:p w14:paraId="0D349F9F" w14:textId="0AC0ABD9" w:rsidR="004943EB" w:rsidRPr="004943EB" w:rsidRDefault="004943EB" w:rsidP="008D75E7">
      <w:pPr>
        <w:spacing w:before="120" w:line="276" w:lineRule="auto"/>
        <w:ind w:firstLine="400"/>
        <w:jc w:val="both"/>
      </w:pPr>
      <w:r>
        <w:t>Figure 2</w:t>
      </w:r>
      <w:r w:rsidRPr="004943EB">
        <w:t xml:space="preserve"> illustrates the scenarios described in Case 1 and Case 2. Interference to the victim IAB node 2 occurs when IAB node 1 is transmitting signals to gNB1 and/or UE1</w:t>
      </w:r>
      <w:r w:rsidR="00A202C9">
        <w:t xml:space="preserve"> (or to a child IAB node of IAB node 1 although it is missing in the figure)</w:t>
      </w:r>
      <w:r w:rsidRPr="004943EB">
        <w:t>. Before the transmission, gNB1 can let gNB2 know the SRS/DMRS patterns of the IAB node 1 via information exchange in backhaul. Then, gNB2 can assign ZP CSI-RS to IAB node 2 and IAB node 2 can perform channel measurement.</w:t>
      </w:r>
    </w:p>
    <w:p w14:paraId="36DC48AA" w14:textId="3FBDC68C" w:rsidR="004943EB" w:rsidRPr="004943EB" w:rsidRDefault="004943EB" w:rsidP="004943EB">
      <w:pPr>
        <w:pStyle w:val="Caption"/>
        <w:spacing w:line="276" w:lineRule="auto"/>
        <w:jc w:val="center"/>
      </w:pPr>
      <w:bookmarkStart w:id="2" w:name="_Ref469485403"/>
      <w:r w:rsidRPr="004943EB">
        <w:rPr>
          <w:noProof/>
          <w:lang w:eastAsia="zh-CN"/>
        </w:rPr>
        <w:lastRenderedPageBreak/>
        <w:drawing>
          <wp:inline distT="0" distB="0" distL="0" distR="0" wp14:anchorId="0511733C" wp14:editId="4914D860">
            <wp:extent cx="2710815" cy="20370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0815" cy="2037080"/>
                    </a:xfrm>
                    <a:prstGeom prst="rect">
                      <a:avLst/>
                    </a:prstGeom>
                    <a:noFill/>
                  </pic:spPr>
                </pic:pic>
              </a:graphicData>
            </a:graphic>
          </wp:inline>
        </w:drawing>
      </w:r>
    </w:p>
    <w:p w14:paraId="3BDC7A8C" w14:textId="238E5EEC" w:rsidR="004943EB" w:rsidRPr="004943EB" w:rsidRDefault="004943EB" w:rsidP="004943EB">
      <w:pPr>
        <w:pStyle w:val="Caption"/>
        <w:spacing w:line="276" w:lineRule="auto"/>
        <w:jc w:val="center"/>
      </w:pPr>
      <w:bookmarkStart w:id="3" w:name="_Ref520968676"/>
      <w:r w:rsidRPr="004943EB">
        <w:t xml:space="preserve">Figure </w:t>
      </w:r>
      <w:bookmarkEnd w:id="2"/>
      <w:bookmarkEnd w:id="3"/>
      <w:r>
        <w:t>2</w:t>
      </w:r>
      <w:r w:rsidRPr="004943EB">
        <w:t xml:space="preserve"> Diagram of scenarios described in Case 1 and Case 2.</w:t>
      </w:r>
    </w:p>
    <w:p w14:paraId="14563011" w14:textId="0A980D8F" w:rsidR="004943EB" w:rsidRPr="004943EB" w:rsidRDefault="004A5AD0" w:rsidP="004943EB">
      <w:pPr>
        <w:spacing w:line="276" w:lineRule="auto"/>
        <w:jc w:val="both"/>
      </w:pPr>
      <w:r>
        <w:t xml:space="preserve">    </w:t>
      </w:r>
      <w:r w:rsidR="004943EB" w:rsidRPr="004943EB">
        <w:t xml:space="preserve">An example of assigned ZP CSI-RS to the victim IAB node and the SRS of the interfering IAB node is shown in </w:t>
      </w:r>
      <w:r>
        <w:t>Figure 3</w:t>
      </w:r>
      <w:r w:rsidR="004943EB" w:rsidRPr="004943EB">
        <w:t>. With the ZP CSI-RS overlapped with the SRS, the victim IAB node can acquire certain knowledge of the interfering channel. As SRS is periodic, gNB2 can configure the ZP CSI-RS with the same period.</w:t>
      </w:r>
    </w:p>
    <w:tbl>
      <w:tblPr>
        <w:tblW w:w="0" w:type="auto"/>
        <w:tblLayout w:type="fixed"/>
        <w:tblLook w:val="04A0" w:firstRow="1" w:lastRow="0" w:firstColumn="1" w:lastColumn="0" w:noHBand="0" w:noVBand="1"/>
      </w:tblPr>
      <w:tblGrid>
        <w:gridCol w:w="4503"/>
        <w:gridCol w:w="4785"/>
      </w:tblGrid>
      <w:tr w:rsidR="004943EB" w:rsidRPr="004943EB" w14:paraId="6FE3FE70" w14:textId="77777777" w:rsidTr="003B02D9">
        <w:tc>
          <w:tcPr>
            <w:tcW w:w="4503" w:type="dxa"/>
            <w:shd w:val="clear" w:color="auto" w:fill="auto"/>
            <w:vAlign w:val="center"/>
          </w:tcPr>
          <w:p w14:paraId="497EC288" w14:textId="4C6A29BA" w:rsidR="004943EB" w:rsidRPr="004943EB" w:rsidRDefault="004943EB" w:rsidP="004943EB">
            <w:pPr>
              <w:spacing w:line="276" w:lineRule="auto"/>
              <w:jc w:val="center"/>
            </w:pPr>
            <w:r w:rsidRPr="004943EB">
              <w:rPr>
                <w:noProof/>
                <w:lang w:eastAsia="zh-CN"/>
              </w:rPr>
              <w:drawing>
                <wp:inline distT="0" distB="0" distL="0" distR="0" wp14:anchorId="28B8F32E" wp14:editId="42D3A4E8">
                  <wp:extent cx="2705100" cy="20897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5100" cy="2089785"/>
                          </a:xfrm>
                          <a:prstGeom prst="rect">
                            <a:avLst/>
                          </a:prstGeom>
                          <a:noFill/>
                          <a:ln>
                            <a:noFill/>
                          </a:ln>
                        </pic:spPr>
                      </pic:pic>
                    </a:graphicData>
                  </a:graphic>
                </wp:inline>
              </w:drawing>
            </w:r>
          </w:p>
        </w:tc>
        <w:tc>
          <w:tcPr>
            <w:tcW w:w="4785" w:type="dxa"/>
            <w:shd w:val="clear" w:color="auto" w:fill="auto"/>
            <w:vAlign w:val="center"/>
          </w:tcPr>
          <w:p w14:paraId="1EF9CAC1" w14:textId="33E93AE7" w:rsidR="004943EB" w:rsidRPr="004943EB" w:rsidRDefault="004943EB" w:rsidP="004943EB">
            <w:pPr>
              <w:spacing w:line="276" w:lineRule="auto"/>
              <w:jc w:val="center"/>
            </w:pPr>
            <w:r w:rsidRPr="004943EB">
              <w:rPr>
                <w:noProof/>
                <w:lang w:eastAsia="zh-CN"/>
              </w:rPr>
              <w:drawing>
                <wp:inline distT="0" distB="0" distL="0" distR="0" wp14:anchorId="5A5603E6" wp14:editId="4780D146">
                  <wp:extent cx="2705100" cy="2084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5100" cy="2084705"/>
                          </a:xfrm>
                          <a:prstGeom prst="rect">
                            <a:avLst/>
                          </a:prstGeom>
                          <a:noFill/>
                          <a:ln>
                            <a:noFill/>
                          </a:ln>
                        </pic:spPr>
                      </pic:pic>
                    </a:graphicData>
                  </a:graphic>
                </wp:inline>
              </w:drawing>
            </w:r>
          </w:p>
        </w:tc>
      </w:tr>
      <w:tr w:rsidR="004943EB" w:rsidRPr="004943EB" w14:paraId="1021E807" w14:textId="77777777" w:rsidTr="003B02D9">
        <w:tc>
          <w:tcPr>
            <w:tcW w:w="9288" w:type="dxa"/>
            <w:gridSpan w:val="2"/>
            <w:shd w:val="clear" w:color="auto" w:fill="auto"/>
          </w:tcPr>
          <w:p w14:paraId="18A514F6" w14:textId="10B9CB7A" w:rsidR="004943EB" w:rsidRPr="004943EB" w:rsidRDefault="004943EB" w:rsidP="004A5AD0">
            <w:pPr>
              <w:pStyle w:val="Caption"/>
              <w:spacing w:line="276" w:lineRule="auto"/>
              <w:jc w:val="center"/>
            </w:pPr>
            <w:r w:rsidRPr="004943EB">
              <w:t xml:space="preserve">Figure </w:t>
            </w:r>
            <w:r w:rsidR="004A5AD0">
              <w:t>3</w:t>
            </w:r>
            <w:r w:rsidRPr="004943EB">
              <w:t xml:space="preserve">. Example of assigned ZP CSI-RS (left) to the victim IAB node and the SRS (right) of the interfering IAB node. </w:t>
            </w:r>
          </w:p>
        </w:tc>
      </w:tr>
    </w:tbl>
    <w:p w14:paraId="50703960" w14:textId="180162D0" w:rsidR="004943EB" w:rsidRPr="004943EB" w:rsidRDefault="004A5AD0" w:rsidP="004943EB">
      <w:pPr>
        <w:spacing w:line="276" w:lineRule="auto"/>
        <w:jc w:val="both"/>
      </w:pPr>
      <w:r>
        <w:t xml:space="preserve">    </w:t>
      </w:r>
      <w:r w:rsidR="004943EB" w:rsidRPr="004943EB">
        <w:t xml:space="preserve">An example of assigned ZP CSI-RS to the victim IAB node and the DMRS of the interfering IAB node is shown in </w:t>
      </w:r>
      <w:r>
        <w:t>Figure 4</w:t>
      </w:r>
      <w:r w:rsidR="004943EB" w:rsidRPr="004943EB">
        <w:t xml:space="preserve">. With the ZP CSI-RS overlapped with the DMRS, the victim IAB node can acquire long-term knowledge of the interfering channel. </w:t>
      </w:r>
    </w:p>
    <w:tbl>
      <w:tblPr>
        <w:tblW w:w="0" w:type="auto"/>
        <w:tblLayout w:type="fixed"/>
        <w:tblLook w:val="04A0" w:firstRow="1" w:lastRow="0" w:firstColumn="1" w:lastColumn="0" w:noHBand="0" w:noVBand="1"/>
      </w:tblPr>
      <w:tblGrid>
        <w:gridCol w:w="4503"/>
        <w:gridCol w:w="4785"/>
      </w:tblGrid>
      <w:tr w:rsidR="004943EB" w:rsidRPr="004943EB" w14:paraId="37B30EF5" w14:textId="77777777" w:rsidTr="003B02D9">
        <w:tc>
          <w:tcPr>
            <w:tcW w:w="4503" w:type="dxa"/>
            <w:shd w:val="clear" w:color="auto" w:fill="auto"/>
            <w:vAlign w:val="center"/>
          </w:tcPr>
          <w:p w14:paraId="7C55F2E9" w14:textId="7A82F3B7" w:rsidR="004943EB" w:rsidRPr="004943EB" w:rsidRDefault="004943EB" w:rsidP="004943EB">
            <w:pPr>
              <w:spacing w:line="276" w:lineRule="auto"/>
              <w:jc w:val="center"/>
            </w:pPr>
            <w:r w:rsidRPr="004943EB">
              <w:rPr>
                <w:noProof/>
                <w:lang w:eastAsia="zh-CN"/>
              </w:rPr>
              <w:drawing>
                <wp:inline distT="0" distB="0" distL="0" distR="0" wp14:anchorId="30E086BE" wp14:editId="634C2060">
                  <wp:extent cx="2661285" cy="203581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1285" cy="2035810"/>
                          </a:xfrm>
                          <a:prstGeom prst="rect">
                            <a:avLst/>
                          </a:prstGeom>
                          <a:noFill/>
                          <a:ln>
                            <a:noFill/>
                          </a:ln>
                        </pic:spPr>
                      </pic:pic>
                    </a:graphicData>
                  </a:graphic>
                </wp:inline>
              </w:drawing>
            </w:r>
          </w:p>
        </w:tc>
        <w:tc>
          <w:tcPr>
            <w:tcW w:w="4785" w:type="dxa"/>
            <w:shd w:val="clear" w:color="auto" w:fill="auto"/>
            <w:vAlign w:val="center"/>
          </w:tcPr>
          <w:p w14:paraId="0854C916" w14:textId="65D8EE3F" w:rsidR="004943EB" w:rsidRPr="004943EB" w:rsidRDefault="004943EB" w:rsidP="004943EB">
            <w:pPr>
              <w:spacing w:line="276" w:lineRule="auto"/>
              <w:jc w:val="center"/>
            </w:pPr>
            <w:r w:rsidRPr="004943EB">
              <w:rPr>
                <w:noProof/>
                <w:lang w:eastAsia="zh-CN"/>
              </w:rPr>
              <w:drawing>
                <wp:inline distT="0" distB="0" distL="0" distR="0" wp14:anchorId="309DE7FD" wp14:editId="20D6A732">
                  <wp:extent cx="2650490" cy="20516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50490" cy="2051685"/>
                          </a:xfrm>
                          <a:prstGeom prst="rect">
                            <a:avLst/>
                          </a:prstGeom>
                          <a:noFill/>
                          <a:ln>
                            <a:noFill/>
                          </a:ln>
                        </pic:spPr>
                      </pic:pic>
                    </a:graphicData>
                  </a:graphic>
                </wp:inline>
              </w:drawing>
            </w:r>
          </w:p>
        </w:tc>
      </w:tr>
      <w:tr w:rsidR="004943EB" w:rsidRPr="004943EB" w14:paraId="37B98FC9" w14:textId="77777777" w:rsidTr="003B02D9">
        <w:tc>
          <w:tcPr>
            <w:tcW w:w="9288" w:type="dxa"/>
            <w:gridSpan w:val="2"/>
            <w:shd w:val="clear" w:color="auto" w:fill="auto"/>
          </w:tcPr>
          <w:p w14:paraId="6B51AF28" w14:textId="72BD7D6F" w:rsidR="004943EB" w:rsidRPr="004943EB" w:rsidRDefault="004943EB" w:rsidP="004A5AD0">
            <w:pPr>
              <w:pStyle w:val="Caption"/>
              <w:spacing w:line="276" w:lineRule="auto"/>
              <w:jc w:val="center"/>
            </w:pPr>
            <w:bookmarkStart w:id="4" w:name="_Ref520968497"/>
            <w:r w:rsidRPr="004943EB">
              <w:t xml:space="preserve">Figure </w:t>
            </w:r>
            <w:bookmarkEnd w:id="4"/>
            <w:r w:rsidR="004A5AD0">
              <w:t>4</w:t>
            </w:r>
            <w:r w:rsidRPr="004943EB">
              <w:t xml:space="preserve">. Example of assigned ZP CSI-RS (left) to the victim IAB node and the DMRS (right) of the interfering IAB node. </w:t>
            </w:r>
          </w:p>
        </w:tc>
      </w:tr>
    </w:tbl>
    <w:p w14:paraId="64CDEE67" w14:textId="77777777" w:rsidR="004943EB" w:rsidRPr="004943EB" w:rsidRDefault="004943EB" w:rsidP="004943EB">
      <w:pPr>
        <w:spacing w:line="276" w:lineRule="auto"/>
        <w:jc w:val="both"/>
      </w:pPr>
    </w:p>
    <w:p w14:paraId="6D2238E3" w14:textId="777C3ADC" w:rsidR="004943EB" w:rsidRPr="004943EB" w:rsidRDefault="004A5AD0" w:rsidP="004943EB">
      <w:pPr>
        <w:spacing w:line="276" w:lineRule="auto"/>
        <w:jc w:val="both"/>
      </w:pPr>
      <w:r>
        <w:t xml:space="preserve">    </w:t>
      </w:r>
      <w:r w:rsidR="004943EB" w:rsidRPr="004943EB">
        <w:t xml:space="preserve">It should be noticed that the measurement on DMRS provides better accuracy on the interference channel information because DMRS is </w:t>
      </w:r>
      <w:proofErr w:type="spellStart"/>
      <w:r w:rsidR="004943EB" w:rsidRPr="004943EB">
        <w:t>precoded</w:t>
      </w:r>
      <w:proofErr w:type="spellEnd"/>
      <w:r w:rsidR="004943EB" w:rsidRPr="004943EB">
        <w:t xml:space="preserve"> in the same way as data. However, the frequent information exchange between gNB1 and gNB2 on the DMRS in the access link requires low latency backhaul. The measurement and information exchange on the DMRS can at least be done on the UL backhaul link since the link between the interfering IAB node 1 and gNB1 and the scheduling of backhauling transmissions are relatively stable and predictable. On the other hand, measurement on SRS requires minimum information exchange overhead.</w:t>
      </w:r>
    </w:p>
    <w:p w14:paraId="2AF99970" w14:textId="73008F09" w:rsidR="004A5AD0" w:rsidRPr="00674EC0" w:rsidRDefault="004A5AD0" w:rsidP="004A5AD0">
      <w:pPr>
        <w:jc w:val="both"/>
        <w:rPr>
          <w:rFonts w:ascii="Arial" w:hAnsi="Arial" w:cs="Arial"/>
          <w:sz w:val="28"/>
          <w:szCs w:val="28"/>
        </w:rPr>
      </w:pPr>
      <w:r>
        <w:rPr>
          <w:rFonts w:ascii="Arial" w:hAnsi="Arial" w:cs="Arial"/>
          <w:sz w:val="28"/>
          <w:szCs w:val="28"/>
        </w:rPr>
        <w:t>3.2 Case 3 and Case 4</w:t>
      </w:r>
    </w:p>
    <w:p w14:paraId="622C29C3" w14:textId="3E081A8B" w:rsidR="004943EB" w:rsidRPr="004943EB" w:rsidRDefault="004A5AD0" w:rsidP="004943EB">
      <w:pPr>
        <w:spacing w:line="276" w:lineRule="auto"/>
        <w:jc w:val="both"/>
      </w:pPr>
      <w:r>
        <w:t xml:space="preserve">    </w:t>
      </w:r>
      <w:r w:rsidR="004943EB" w:rsidRPr="004943EB">
        <w:t xml:space="preserve">Scenarios of Case 3 and Case 4 are depicted in </w:t>
      </w:r>
      <w:r>
        <w:t>Figure 5</w:t>
      </w:r>
      <w:r w:rsidR="004943EB" w:rsidRPr="004943EB">
        <w:t xml:space="preserve">. It should be noticed that both </w:t>
      </w:r>
      <w:r>
        <w:t>Figure 5</w:t>
      </w:r>
      <w:r w:rsidR="004943EB" w:rsidRPr="004943EB">
        <w:t xml:space="preserve"> (left) and </w:t>
      </w:r>
      <w:r>
        <w:t>Figure 5</w:t>
      </w:r>
      <w:r w:rsidR="004943EB" w:rsidRPr="004943EB">
        <w:t xml:space="preserve"> (right) satisfy the description of Case 3 and Case 4. In </w:t>
      </w:r>
      <w:r>
        <w:t>Figure 5</w:t>
      </w:r>
      <w:r w:rsidR="004943EB" w:rsidRPr="004943EB">
        <w:t xml:space="preserve"> (left), the interfering IAB node 1 and the victim IAB node 2 are attached to different </w:t>
      </w:r>
      <w:proofErr w:type="spellStart"/>
      <w:r w:rsidR="004943EB" w:rsidRPr="004943EB">
        <w:t>gNBs</w:t>
      </w:r>
      <w:proofErr w:type="spellEnd"/>
      <w:r w:rsidR="004943EB" w:rsidRPr="004943EB">
        <w:t xml:space="preserve">. In this case, it is required that a backhaul link exists between gNB1 and gNB2 and these </w:t>
      </w:r>
      <w:proofErr w:type="spellStart"/>
      <w:r w:rsidR="004943EB" w:rsidRPr="004943EB">
        <w:t>gNBs</w:t>
      </w:r>
      <w:proofErr w:type="spellEnd"/>
      <w:r w:rsidR="004943EB" w:rsidRPr="004943EB">
        <w:t xml:space="preserve"> exchange information via backhaul. On the contrary, in </w:t>
      </w:r>
      <w:r>
        <w:t>Figure 5</w:t>
      </w:r>
      <w:r w:rsidR="004943EB" w:rsidRPr="004943EB">
        <w:t xml:space="preserve"> (right), both IAB nodes are attached to the same </w:t>
      </w:r>
      <w:proofErr w:type="spellStart"/>
      <w:r w:rsidR="004943EB" w:rsidRPr="004943EB">
        <w:t>gNB</w:t>
      </w:r>
      <w:proofErr w:type="spellEnd"/>
      <w:r w:rsidR="004943EB" w:rsidRPr="004943EB">
        <w:t xml:space="preserve">. As a result, the </w:t>
      </w:r>
      <w:proofErr w:type="spellStart"/>
      <w:r w:rsidR="004943EB" w:rsidRPr="004943EB">
        <w:t>gNB</w:t>
      </w:r>
      <w:proofErr w:type="spellEnd"/>
      <w:r w:rsidR="004943EB" w:rsidRPr="004943EB">
        <w:t xml:space="preserve"> is able to make scheduling and signalling decisions more promptly. The principle of using the coordination of </w:t>
      </w:r>
      <w:proofErr w:type="spellStart"/>
      <w:r w:rsidR="004943EB" w:rsidRPr="004943EB">
        <w:t>gNBs</w:t>
      </w:r>
      <w:proofErr w:type="spellEnd"/>
      <w:r w:rsidR="004943EB" w:rsidRPr="004943EB">
        <w:t xml:space="preserve"> and ZP CSI-RS remains the same as Case 1 and Case 2. </w:t>
      </w:r>
    </w:p>
    <w:tbl>
      <w:tblPr>
        <w:tblW w:w="0" w:type="auto"/>
        <w:tblLook w:val="04A0" w:firstRow="1" w:lastRow="0" w:firstColumn="1" w:lastColumn="0" w:noHBand="0" w:noVBand="1"/>
      </w:tblPr>
      <w:tblGrid>
        <w:gridCol w:w="4644"/>
        <w:gridCol w:w="4644"/>
      </w:tblGrid>
      <w:tr w:rsidR="004943EB" w:rsidRPr="004943EB" w14:paraId="0226CD14" w14:textId="77777777" w:rsidTr="003B02D9">
        <w:tc>
          <w:tcPr>
            <w:tcW w:w="4644" w:type="dxa"/>
            <w:shd w:val="clear" w:color="auto" w:fill="auto"/>
          </w:tcPr>
          <w:p w14:paraId="534B023E" w14:textId="46B655DD" w:rsidR="004943EB" w:rsidRPr="004943EB" w:rsidRDefault="004943EB" w:rsidP="004943EB">
            <w:pPr>
              <w:spacing w:line="276" w:lineRule="auto"/>
              <w:jc w:val="center"/>
            </w:pPr>
            <w:r w:rsidRPr="004943EB">
              <w:rPr>
                <w:noProof/>
                <w:lang w:eastAsia="zh-CN"/>
              </w:rPr>
              <w:drawing>
                <wp:inline distT="0" distB="0" distL="0" distR="0" wp14:anchorId="097E8371" wp14:editId="0126C092">
                  <wp:extent cx="2626995" cy="2164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6995" cy="2164715"/>
                          </a:xfrm>
                          <a:prstGeom prst="rect">
                            <a:avLst/>
                          </a:prstGeom>
                          <a:noFill/>
                        </pic:spPr>
                      </pic:pic>
                    </a:graphicData>
                  </a:graphic>
                </wp:inline>
              </w:drawing>
            </w:r>
          </w:p>
        </w:tc>
        <w:tc>
          <w:tcPr>
            <w:tcW w:w="4644" w:type="dxa"/>
            <w:shd w:val="clear" w:color="auto" w:fill="auto"/>
          </w:tcPr>
          <w:p w14:paraId="7FA1EDA5" w14:textId="5BCFDA2E" w:rsidR="004943EB" w:rsidRPr="004943EB" w:rsidRDefault="004943EB" w:rsidP="004943EB">
            <w:pPr>
              <w:spacing w:line="276" w:lineRule="auto"/>
              <w:jc w:val="center"/>
            </w:pPr>
            <w:r w:rsidRPr="004943EB">
              <w:rPr>
                <w:noProof/>
                <w:lang w:eastAsia="zh-CN"/>
              </w:rPr>
              <w:drawing>
                <wp:inline distT="0" distB="0" distL="0" distR="0" wp14:anchorId="558533D5" wp14:editId="123379AF">
                  <wp:extent cx="2498090" cy="2202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98090" cy="2202180"/>
                          </a:xfrm>
                          <a:prstGeom prst="rect">
                            <a:avLst/>
                          </a:prstGeom>
                          <a:noFill/>
                        </pic:spPr>
                      </pic:pic>
                    </a:graphicData>
                  </a:graphic>
                </wp:inline>
              </w:drawing>
            </w:r>
          </w:p>
        </w:tc>
      </w:tr>
      <w:tr w:rsidR="004943EB" w:rsidRPr="004943EB" w14:paraId="0D8BE487" w14:textId="77777777" w:rsidTr="003B02D9">
        <w:tc>
          <w:tcPr>
            <w:tcW w:w="9288" w:type="dxa"/>
            <w:gridSpan w:val="2"/>
            <w:shd w:val="clear" w:color="auto" w:fill="auto"/>
          </w:tcPr>
          <w:p w14:paraId="25962EBE" w14:textId="1DA0653E" w:rsidR="004943EB" w:rsidRPr="004943EB" w:rsidRDefault="004943EB" w:rsidP="004A5AD0">
            <w:pPr>
              <w:pStyle w:val="Caption"/>
              <w:spacing w:line="276" w:lineRule="auto"/>
              <w:jc w:val="center"/>
            </w:pPr>
            <w:bookmarkStart w:id="5" w:name="_Ref509238512"/>
            <w:r w:rsidRPr="004943EB">
              <w:t xml:space="preserve">Figure </w:t>
            </w:r>
            <w:bookmarkEnd w:id="5"/>
            <w:r w:rsidR="004A5AD0">
              <w:t>5</w:t>
            </w:r>
            <w:r w:rsidRPr="004943EB">
              <w:t xml:space="preserve">. Diagram of scenarios described in Case 3 and Case 4. Left: IAB node 1 and IAB node 2 are attached to different </w:t>
            </w:r>
            <w:proofErr w:type="spellStart"/>
            <w:r w:rsidRPr="004943EB">
              <w:t>gNBs</w:t>
            </w:r>
            <w:proofErr w:type="spellEnd"/>
            <w:r w:rsidRPr="004943EB">
              <w:t xml:space="preserve">; Right: IAB node 1 and IAB node 2 are attached to the same </w:t>
            </w:r>
            <w:proofErr w:type="spellStart"/>
            <w:r w:rsidRPr="004943EB">
              <w:t>gNB</w:t>
            </w:r>
            <w:proofErr w:type="spellEnd"/>
            <w:r w:rsidRPr="004943EB">
              <w:t xml:space="preserve">. </w:t>
            </w:r>
          </w:p>
        </w:tc>
      </w:tr>
    </w:tbl>
    <w:p w14:paraId="614186B8" w14:textId="4AA4D704" w:rsidR="004943EB" w:rsidRPr="004943EB" w:rsidRDefault="004A5AD0" w:rsidP="004943EB">
      <w:pPr>
        <w:spacing w:line="276" w:lineRule="auto"/>
        <w:jc w:val="both"/>
      </w:pPr>
      <w:r>
        <w:t xml:space="preserve">    </w:t>
      </w:r>
      <w:r w:rsidR="00E82668">
        <w:t>Therefore,</w:t>
      </w:r>
      <w:r w:rsidR="004943EB" w:rsidRPr="004943EB">
        <w:t xml:space="preserve"> the inter-IAB CLI in Case 1-4 is handled in a unified framework, </w:t>
      </w:r>
      <w:r w:rsidR="00E82668">
        <w:t>by</w:t>
      </w:r>
      <w:r w:rsidR="004943EB" w:rsidRPr="004943EB">
        <w:t xml:space="preserve"> the current </w:t>
      </w:r>
      <w:r w:rsidR="00E82668">
        <w:t>Rel-15 NR mechanisms to utilize SRS/DMRS/ZP CSI-RS</w:t>
      </w:r>
      <w:r w:rsidR="004943EB" w:rsidRPr="004943EB">
        <w:t>.</w:t>
      </w:r>
    </w:p>
    <w:p w14:paraId="3D060483" w14:textId="3E61C093" w:rsidR="00AF1226" w:rsidRDefault="00AF1226" w:rsidP="00AF1226">
      <w:pPr>
        <w:pStyle w:val="Style1"/>
        <w:ind w:firstLine="0"/>
      </w:pPr>
      <w:r w:rsidRPr="00AF1226">
        <w:rPr>
          <w:b/>
          <w:i/>
        </w:rPr>
        <w:t xml:space="preserve">Proposal </w:t>
      </w:r>
      <w:r w:rsidR="009A128B">
        <w:rPr>
          <w:b/>
          <w:i/>
        </w:rPr>
        <w:t>4</w:t>
      </w:r>
      <w:r w:rsidRPr="00AF1226">
        <w:rPr>
          <w:i/>
        </w:rPr>
        <w:t xml:space="preserve">: </w:t>
      </w:r>
      <w:r w:rsidR="004A5AD0" w:rsidRPr="004A5AD0">
        <w:rPr>
          <w:i/>
        </w:rPr>
        <w:t>Measurement on the SRS and/or DMRS of the interfering IAB node via ZP CSI-RS should be supported to measure inter-IAB interference.</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3E767463" w14:textId="77777777" w:rsidR="009A128B" w:rsidRPr="008C4760" w:rsidRDefault="009A128B" w:rsidP="009A128B">
      <w:pPr>
        <w:pStyle w:val="Style1"/>
        <w:ind w:firstLine="0"/>
        <w:rPr>
          <w:b/>
          <w:i/>
        </w:rPr>
      </w:pPr>
      <w:r w:rsidRPr="008C4760">
        <w:rPr>
          <w:b/>
          <w:i/>
        </w:rPr>
        <w:t xml:space="preserve">Observation 1: </w:t>
      </w:r>
      <w:r w:rsidRPr="008C4760">
        <w:rPr>
          <w:i/>
        </w:rPr>
        <w:t>The number of UEs generate strong CLI is small and thus there is no need to enable cell-level or UE group-level UE-to-UE CLI measurement.</w:t>
      </w:r>
      <w:r w:rsidRPr="008C4760">
        <w:rPr>
          <w:b/>
          <w:i/>
        </w:rPr>
        <w:t xml:space="preserve"> </w:t>
      </w:r>
    </w:p>
    <w:p w14:paraId="18135774" w14:textId="77777777" w:rsidR="009A128B" w:rsidRPr="008C4760" w:rsidRDefault="009A128B" w:rsidP="009A128B">
      <w:pPr>
        <w:pStyle w:val="Style1"/>
        <w:ind w:firstLine="0"/>
        <w:rPr>
          <w:i/>
        </w:rPr>
      </w:pPr>
      <w:r w:rsidRPr="008C4760">
        <w:rPr>
          <w:b/>
          <w:i/>
        </w:rPr>
        <w:t>Observation 2</w:t>
      </w:r>
      <w:r w:rsidRPr="008C4760">
        <w:rPr>
          <w:i/>
        </w:rPr>
        <w:t>: The benefit of adopting TA for CLI measurement reference signals is unclear since accuracy loss can be tolerated.</w:t>
      </w:r>
    </w:p>
    <w:p w14:paraId="2CD21605" w14:textId="77777777" w:rsidR="00AA438D" w:rsidRDefault="00AA438D" w:rsidP="00AA438D">
      <w:pPr>
        <w:pStyle w:val="Style1"/>
        <w:ind w:firstLine="0"/>
        <w:rPr>
          <w:i/>
        </w:rPr>
      </w:pPr>
      <w:r w:rsidRPr="00AF1226">
        <w:rPr>
          <w:b/>
          <w:i/>
        </w:rPr>
        <w:t>Proposal 1:</w:t>
      </w:r>
      <w:r w:rsidRPr="00AF1226">
        <w:rPr>
          <w:i/>
        </w:rPr>
        <w:t xml:space="preserve"> </w:t>
      </w:r>
      <w:r w:rsidRPr="004943EB">
        <w:rPr>
          <w:i/>
        </w:rPr>
        <w:t xml:space="preserve">Measurement signal based on existing reference signals should be supported for cross-link interference (CLI) detection and interference source identification by the </w:t>
      </w:r>
      <w:proofErr w:type="spellStart"/>
      <w:r w:rsidRPr="004943EB">
        <w:rPr>
          <w:i/>
        </w:rPr>
        <w:t>gNB</w:t>
      </w:r>
      <w:proofErr w:type="spellEnd"/>
      <w:r w:rsidRPr="004943EB">
        <w:rPr>
          <w:i/>
        </w:rPr>
        <w:t xml:space="preserve"> (DL-to-UL CLI) and the UE (UL-to-DL CLI)</w:t>
      </w:r>
      <w:r w:rsidRPr="00AF1226">
        <w:rPr>
          <w:i/>
        </w:rPr>
        <w:t>.</w:t>
      </w:r>
    </w:p>
    <w:p w14:paraId="186189BD" w14:textId="77777777" w:rsidR="009A128B" w:rsidRDefault="009A128B" w:rsidP="00AA438D">
      <w:pPr>
        <w:pStyle w:val="Style1"/>
        <w:ind w:firstLine="0"/>
        <w:rPr>
          <w:i/>
        </w:rPr>
      </w:pPr>
      <w:r w:rsidRPr="004A5AD0">
        <w:rPr>
          <w:b/>
          <w:i/>
        </w:rPr>
        <w:lastRenderedPageBreak/>
        <w:t xml:space="preserve">Proposal </w:t>
      </w:r>
      <w:r>
        <w:rPr>
          <w:b/>
          <w:i/>
        </w:rPr>
        <w:t>2</w:t>
      </w:r>
      <w:r w:rsidRPr="004A5AD0">
        <w:rPr>
          <w:b/>
          <w:i/>
        </w:rPr>
        <w:t>:</w:t>
      </w:r>
      <w:r w:rsidRPr="004A5AD0">
        <w:rPr>
          <w:i/>
        </w:rPr>
        <w:t xml:space="preserve"> </w:t>
      </w:r>
      <w:r w:rsidRPr="00FD6A5D">
        <w:rPr>
          <w:i/>
        </w:rPr>
        <w:t xml:space="preserve">Measurement on the SRS and/or DMRS of the interfering </w:t>
      </w:r>
      <w:r>
        <w:rPr>
          <w:i/>
        </w:rPr>
        <w:t>UE</w:t>
      </w:r>
      <w:r w:rsidRPr="00FD6A5D">
        <w:rPr>
          <w:i/>
        </w:rPr>
        <w:t xml:space="preserve"> via ZP CSI-RS should be supported to measure </w:t>
      </w:r>
      <w:r>
        <w:rPr>
          <w:i/>
        </w:rPr>
        <w:t>UE-to-UE</w:t>
      </w:r>
      <w:r w:rsidRPr="00FD6A5D">
        <w:rPr>
          <w:i/>
        </w:rPr>
        <w:t xml:space="preserve"> </w:t>
      </w:r>
      <w:r>
        <w:rPr>
          <w:i/>
        </w:rPr>
        <w:t>CLI</w:t>
      </w:r>
      <w:r w:rsidRPr="004A5AD0">
        <w:rPr>
          <w:i/>
        </w:rPr>
        <w:t>.</w:t>
      </w:r>
    </w:p>
    <w:p w14:paraId="3273807D" w14:textId="77777777" w:rsidR="009A128B" w:rsidRDefault="009A128B" w:rsidP="00C36E6E">
      <w:pPr>
        <w:pStyle w:val="Style1"/>
        <w:ind w:firstLine="0"/>
        <w:rPr>
          <w:i/>
        </w:rPr>
      </w:pPr>
      <w:r w:rsidRPr="004A5AD0">
        <w:rPr>
          <w:b/>
          <w:i/>
        </w:rPr>
        <w:t xml:space="preserve">Proposal </w:t>
      </w:r>
      <w:r>
        <w:rPr>
          <w:b/>
          <w:i/>
        </w:rPr>
        <w:t>3</w:t>
      </w:r>
      <w:r w:rsidRPr="004A5AD0">
        <w:rPr>
          <w:b/>
          <w:i/>
        </w:rPr>
        <w:t>:</w:t>
      </w:r>
      <w:r w:rsidRPr="004A5AD0">
        <w:rPr>
          <w:i/>
        </w:rPr>
        <w:t xml:space="preserve"> The measurement metric of CLI-RSRP should be supported and can be configured in the report</w:t>
      </w:r>
      <w:r>
        <w:rPr>
          <w:i/>
        </w:rPr>
        <w:t>ing setting for CLI measurement</w:t>
      </w:r>
      <w:r w:rsidRPr="004A5AD0">
        <w:rPr>
          <w:i/>
        </w:rPr>
        <w:t>.</w:t>
      </w:r>
      <w:r>
        <w:rPr>
          <w:i/>
        </w:rPr>
        <w:t xml:space="preserve"> The antenna port for RSRP determination should be further studied.</w:t>
      </w:r>
    </w:p>
    <w:p w14:paraId="256B7C41" w14:textId="03BF6797" w:rsidR="00B96A6F" w:rsidRPr="00504062" w:rsidRDefault="00AA438D" w:rsidP="00C36E6E">
      <w:pPr>
        <w:pStyle w:val="Style1"/>
        <w:ind w:firstLine="0"/>
      </w:pPr>
      <w:r w:rsidRPr="00AF1226">
        <w:rPr>
          <w:b/>
          <w:i/>
        </w:rPr>
        <w:t xml:space="preserve">Proposal </w:t>
      </w:r>
      <w:r w:rsidR="009A128B">
        <w:rPr>
          <w:b/>
          <w:i/>
        </w:rPr>
        <w:t>4</w:t>
      </w:r>
      <w:r w:rsidRPr="00AF1226">
        <w:rPr>
          <w:i/>
        </w:rPr>
        <w:t xml:space="preserve">: </w:t>
      </w:r>
      <w:r w:rsidRPr="004A5AD0">
        <w:rPr>
          <w:i/>
        </w:rPr>
        <w:t>Measurement on the SRS and/or DMRS of the interfering IAB node via ZP CSI-RS should be supported to measure inter-IAB interference.</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3596DFC0"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Pr>
          <w:rFonts w:eastAsia="MS Mincho"/>
          <w:lang w:eastAsia="ja-JP"/>
        </w:rPr>
        <w:t xml:space="preserve">70 New WID Proposal: </w:t>
      </w:r>
      <w:r w:rsidRPr="006C67D4">
        <w:rPr>
          <w:rFonts w:eastAsia="MS Mincho"/>
          <w:lang w:eastAsia="ja-JP"/>
        </w:rPr>
        <w:t>WID on Cross Link Interference (CLI) handling and Remote Interference Management (RIM) for NR</w:t>
      </w:r>
      <w:r>
        <w:rPr>
          <w:rFonts w:eastAsia="MS Mincho"/>
          <w:lang w:eastAsia="ja-JP"/>
        </w:rPr>
        <w:t>.</w:t>
      </w:r>
    </w:p>
    <w:p w14:paraId="48AA622D" w14:textId="2B94EF2F" w:rsidR="00DA0F6B" w:rsidRDefault="006C67D4" w:rsidP="00DA0F6B">
      <w:pPr>
        <w:spacing w:after="0" w:line="360" w:lineRule="auto"/>
        <w:jc w:val="both"/>
        <w:rPr>
          <w:rFonts w:eastAsia="MS Mincho"/>
          <w:lang w:eastAsia="ja-JP"/>
        </w:rPr>
      </w:pPr>
      <w:r>
        <w:rPr>
          <w:rFonts w:eastAsia="MS Mincho"/>
          <w:lang w:eastAsia="ja-JP"/>
        </w:rPr>
        <w:t xml:space="preserve">[2] </w:t>
      </w:r>
      <w:r w:rsidR="00A06DC6" w:rsidRPr="006C67D4">
        <w:rPr>
          <w:rFonts w:eastAsia="MS Mincho"/>
          <w:lang w:eastAsia="ja-JP"/>
        </w:rPr>
        <w:t>R1-1612560</w:t>
      </w:r>
      <w:r w:rsidR="002F338B">
        <w:rPr>
          <w:rFonts w:eastAsia="MS Mincho"/>
          <w:lang w:eastAsia="ja-JP"/>
        </w:rPr>
        <w:t>,</w:t>
      </w:r>
      <w:r w:rsidR="008A009D" w:rsidRPr="006C67D4">
        <w:rPr>
          <w:rFonts w:eastAsia="MS Mincho"/>
          <w:lang w:eastAsia="ja-JP"/>
        </w:rPr>
        <w:t xml:space="preserve"> </w:t>
      </w:r>
      <w:r w:rsidR="002F338B">
        <w:rPr>
          <w:rFonts w:eastAsia="MS Mincho"/>
          <w:lang w:eastAsia="ja-JP"/>
        </w:rPr>
        <w:t>“</w:t>
      </w:r>
      <w:r w:rsidR="008A009D" w:rsidRPr="006C67D4">
        <w:rPr>
          <w:rFonts w:eastAsia="MS Mincho"/>
          <w:lang w:eastAsia="ja-JP"/>
        </w:rPr>
        <w:t>Views on NR Duplexing</w:t>
      </w:r>
      <w:r w:rsidR="002F338B">
        <w:rPr>
          <w:rFonts w:eastAsia="MS Mincho"/>
          <w:lang w:eastAsia="ja-JP"/>
        </w:rPr>
        <w:t>”</w:t>
      </w:r>
      <w:r w:rsidR="008A009D" w:rsidRPr="006C67D4">
        <w:rPr>
          <w:rFonts w:eastAsia="MS Mincho"/>
          <w:lang w:eastAsia="ja-JP"/>
        </w:rPr>
        <w:t>, Samsung</w:t>
      </w:r>
      <w:r w:rsidR="00313A51">
        <w:rPr>
          <w:rFonts w:eastAsia="MS Mincho"/>
          <w:lang w:eastAsia="ja-JP"/>
        </w:rPr>
        <w:t>.</w:t>
      </w:r>
    </w:p>
    <w:p w14:paraId="36C41781" w14:textId="7D6096BF" w:rsidR="00211A84" w:rsidRDefault="00211A84" w:rsidP="00DA0F6B">
      <w:pPr>
        <w:spacing w:after="0" w:line="360" w:lineRule="auto"/>
        <w:jc w:val="both"/>
        <w:rPr>
          <w:rFonts w:eastAsia="MS Mincho"/>
          <w:lang w:eastAsia="ja-JP"/>
        </w:rPr>
      </w:pPr>
      <w:r>
        <w:rPr>
          <w:rFonts w:eastAsia="MS Mincho"/>
          <w:lang w:eastAsia="ja-JP"/>
        </w:rPr>
        <w:t xml:space="preserve">[3] </w:t>
      </w:r>
      <w:r w:rsidR="002F14E1" w:rsidRPr="002F14E1">
        <w:rPr>
          <w:rFonts w:eastAsia="MS Mincho"/>
          <w:lang w:eastAsia="ja-JP"/>
        </w:rPr>
        <w:t>R1-190106</w:t>
      </w:r>
      <w:r w:rsidR="002F14E1">
        <w:rPr>
          <w:rFonts w:eastAsia="MS Mincho"/>
          <w:lang w:eastAsia="ja-JP"/>
        </w:rPr>
        <w:t>4</w:t>
      </w:r>
      <w:bookmarkStart w:id="6" w:name="_GoBack"/>
      <w:bookmarkEnd w:id="6"/>
      <w:r w:rsidR="002F338B">
        <w:rPr>
          <w:rFonts w:eastAsia="MS Mincho"/>
          <w:lang w:eastAsia="ja-JP"/>
        </w:rPr>
        <w:t>,</w:t>
      </w:r>
      <w:r>
        <w:rPr>
          <w:rFonts w:eastAsia="MS Mincho"/>
          <w:lang w:eastAsia="ja-JP"/>
        </w:rPr>
        <w:t xml:space="preserve"> </w:t>
      </w:r>
      <w:r w:rsidR="002F338B">
        <w:rPr>
          <w:rFonts w:eastAsia="MS Mincho"/>
          <w:lang w:eastAsia="ja-JP"/>
        </w:rPr>
        <w:t>“</w:t>
      </w:r>
      <w:r w:rsidRPr="00211A84">
        <w:rPr>
          <w:rFonts w:eastAsia="MS Mincho"/>
          <w:lang w:eastAsia="ja-JP"/>
        </w:rPr>
        <w:t>Network coordination mechanism(s) for CLI</w:t>
      </w:r>
      <w:r w:rsidR="002F338B">
        <w:rPr>
          <w:rFonts w:eastAsia="MS Mincho"/>
          <w:lang w:eastAsia="ja-JP"/>
        </w:rPr>
        <w:t>”</w:t>
      </w:r>
      <w:r>
        <w:rPr>
          <w:rFonts w:eastAsia="MS Mincho"/>
          <w:lang w:eastAsia="ja-JP"/>
        </w:rPr>
        <w:t>, Samsung.</w:t>
      </w:r>
    </w:p>
    <w:p w14:paraId="5D077380" w14:textId="07C2999A" w:rsidR="00DA2128" w:rsidRDefault="00DA2128" w:rsidP="00DA0F6B">
      <w:pPr>
        <w:spacing w:after="0" w:line="360" w:lineRule="auto"/>
        <w:jc w:val="both"/>
        <w:rPr>
          <w:rFonts w:eastAsia="MS Mincho"/>
          <w:lang w:eastAsia="ja-JP"/>
        </w:rPr>
      </w:pPr>
      <w:r>
        <w:rPr>
          <w:rFonts w:eastAsia="MS Mincho"/>
          <w:lang w:eastAsia="ja-JP"/>
        </w:rPr>
        <w:t>[4] TR38.874, “</w:t>
      </w:r>
      <w:r>
        <w:rPr>
          <w:rFonts w:cs="Arial"/>
        </w:rPr>
        <w:t>Study on Integrated Access and Backhaul”</w:t>
      </w:r>
    </w:p>
    <w:p w14:paraId="5B2D48A0" w14:textId="77777777" w:rsidR="00DA0F6B" w:rsidRPr="00593885" w:rsidRDefault="00DA0F6B" w:rsidP="00DA0F6B">
      <w:pPr>
        <w:spacing w:after="0" w:line="360" w:lineRule="auto"/>
        <w:jc w:val="both"/>
        <w:rPr>
          <w:rFonts w:eastAsia="MS Mincho"/>
          <w:lang w:eastAsia="ja-JP"/>
        </w:rPr>
      </w:pPr>
    </w:p>
    <w:sectPr w:rsidR="00DA0F6B" w:rsidRPr="00593885"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AB3B8" w14:textId="77777777" w:rsidR="00272FE5" w:rsidRDefault="00272FE5">
      <w:r>
        <w:separator/>
      </w:r>
    </w:p>
  </w:endnote>
  <w:endnote w:type="continuationSeparator" w:id="0">
    <w:p w14:paraId="2E03AF04" w14:textId="77777777" w:rsidR="00272FE5" w:rsidRDefault="0027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94742" w14:textId="77777777" w:rsidR="00272FE5" w:rsidRDefault="00272FE5">
      <w:r>
        <w:separator/>
      </w:r>
    </w:p>
  </w:footnote>
  <w:footnote w:type="continuationSeparator" w:id="0">
    <w:p w14:paraId="27A6F33B" w14:textId="77777777" w:rsidR="00272FE5" w:rsidRDefault="00272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1C35AF"/>
    <w:multiLevelType w:val="hybridMultilevel"/>
    <w:tmpl w:val="2E7A8324"/>
    <w:lvl w:ilvl="0" w:tplc="9242879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516C0F"/>
    <w:multiLevelType w:val="hybridMultilevel"/>
    <w:tmpl w:val="937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9"/>
  </w:num>
  <w:num w:numId="4">
    <w:abstractNumId w:val="16"/>
  </w:num>
  <w:num w:numId="5">
    <w:abstractNumId w:val="1"/>
  </w:num>
  <w:num w:numId="6">
    <w:abstractNumId w:val="11"/>
  </w:num>
  <w:num w:numId="7">
    <w:abstractNumId w:val="8"/>
  </w:num>
  <w:num w:numId="8">
    <w:abstractNumId w:val="15"/>
  </w:num>
  <w:num w:numId="9">
    <w:abstractNumId w:val="14"/>
  </w:num>
  <w:num w:numId="10">
    <w:abstractNumId w:val="5"/>
  </w:num>
  <w:num w:numId="11">
    <w:abstractNumId w:val="13"/>
  </w:num>
  <w:num w:numId="12">
    <w:abstractNumId w:val="7"/>
  </w:num>
  <w:num w:numId="13">
    <w:abstractNumId w:val="0"/>
  </w:num>
  <w:num w:numId="14">
    <w:abstractNumId w:val="3"/>
  </w:num>
  <w:num w:numId="15">
    <w:abstractNumId w:val="17"/>
  </w:num>
  <w:num w:numId="16">
    <w:abstractNumId w:val="10"/>
  </w:num>
  <w:num w:numId="17">
    <w:abstractNumId w:val="18"/>
  </w:num>
  <w:num w:numId="18">
    <w:abstractNumId w:val="6"/>
  </w:num>
  <w:num w:numId="19">
    <w:abstractNumId w:val="12"/>
  </w:num>
  <w:num w:numId="20">
    <w:abstractNumId w:val="19"/>
  </w:num>
  <w:num w:numId="2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1F0B"/>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689"/>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E4B"/>
    <w:rsid w:val="00137048"/>
    <w:rsid w:val="00137383"/>
    <w:rsid w:val="001379DE"/>
    <w:rsid w:val="00140E28"/>
    <w:rsid w:val="0014141E"/>
    <w:rsid w:val="00143390"/>
    <w:rsid w:val="0014343A"/>
    <w:rsid w:val="00143869"/>
    <w:rsid w:val="00146DE6"/>
    <w:rsid w:val="001471E4"/>
    <w:rsid w:val="00147305"/>
    <w:rsid w:val="001503B7"/>
    <w:rsid w:val="001541F8"/>
    <w:rsid w:val="0015445A"/>
    <w:rsid w:val="00157248"/>
    <w:rsid w:val="00160200"/>
    <w:rsid w:val="00162392"/>
    <w:rsid w:val="001639BD"/>
    <w:rsid w:val="00163F80"/>
    <w:rsid w:val="00164498"/>
    <w:rsid w:val="00164811"/>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1A84"/>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2FE5"/>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5FC"/>
    <w:rsid w:val="0029296E"/>
    <w:rsid w:val="00292E27"/>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14E1"/>
    <w:rsid w:val="002F28D8"/>
    <w:rsid w:val="002F338B"/>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A51"/>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4844"/>
    <w:rsid w:val="004149D5"/>
    <w:rsid w:val="00420853"/>
    <w:rsid w:val="00421E04"/>
    <w:rsid w:val="004239D8"/>
    <w:rsid w:val="004240D5"/>
    <w:rsid w:val="004248F6"/>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1AB8"/>
    <w:rsid w:val="004923DF"/>
    <w:rsid w:val="0049325B"/>
    <w:rsid w:val="00493A37"/>
    <w:rsid w:val="004943EB"/>
    <w:rsid w:val="004965F3"/>
    <w:rsid w:val="004A0A28"/>
    <w:rsid w:val="004A2F45"/>
    <w:rsid w:val="004A360E"/>
    <w:rsid w:val="004A43B9"/>
    <w:rsid w:val="004A4659"/>
    <w:rsid w:val="004A48EA"/>
    <w:rsid w:val="004A4968"/>
    <w:rsid w:val="004A5660"/>
    <w:rsid w:val="004A574A"/>
    <w:rsid w:val="004A5A2F"/>
    <w:rsid w:val="004A5AD0"/>
    <w:rsid w:val="004A6312"/>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3885"/>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461E"/>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075E"/>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3B3C"/>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327"/>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35C1"/>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FDD"/>
    <w:rsid w:val="008C5D63"/>
    <w:rsid w:val="008C7A40"/>
    <w:rsid w:val="008D324A"/>
    <w:rsid w:val="008D5A50"/>
    <w:rsid w:val="008D5BAB"/>
    <w:rsid w:val="008D75E7"/>
    <w:rsid w:val="008E0543"/>
    <w:rsid w:val="008E1091"/>
    <w:rsid w:val="008E158C"/>
    <w:rsid w:val="008E1CBB"/>
    <w:rsid w:val="008E1EB9"/>
    <w:rsid w:val="008E4551"/>
    <w:rsid w:val="008E686B"/>
    <w:rsid w:val="008F2B67"/>
    <w:rsid w:val="008F2C09"/>
    <w:rsid w:val="008F301F"/>
    <w:rsid w:val="008F3F16"/>
    <w:rsid w:val="008F55A4"/>
    <w:rsid w:val="008F63FF"/>
    <w:rsid w:val="008F6B64"/>
    <w:rsid w:val="009001DA"/>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36DA"/>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28B"/>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05C0"/>
    <w:rsid w:val="009E2872"/>
    <w:rsid w:val="009E4A14"/>
    <w:rsid w:val="009E4A21"/>
    <w:rsid w:val="009E5000"/>
    <w:rsid w:val="009E7DBD"/>
    <w:rsid w:val="009F0D5B"/>
    <w:rsid w:val="009F0F9B"/>
    <w:rsid w:val="009F1A2B"/>
    <w:rsid w:val="009F307D"/>
    <w:rsid w:val="009F341F"/>
    <w:rsid w:val="009F34AE"/>
    <w:rsid w:val="009F451D"/>
    <w:rsid w:val="009F45AB"/>
    <w:rsid w:val="009F5B4F"/>
    <w:rsid w:val="00A02D0F"/>
    <w:rsid w:val="00A04849"/>
    <w:rsid w:val="00A06DC6"/>
    <w:rsid w:val="00A0774C"/>
    <w:rsid w:val="00A109F3"/>
    <w:rsid w:val="00A11BF8"/>
    <w:rsid w:val="00A12A90"/>
    <w:rsid w:val="00A16523"/>
    <w:rsid w:val="00A17773"/>
    <w:rsid w:val="00A202C9"/>
    <w:rsid w:val="00A207CA"/>
    <w:rsid w:val="00A21216"/>
    <w:rsid w:val="00A22E67"/>
    <w:rsid w:val="00A232AC"/>
    <w:rsid w:val="00A252F2"/>
    <w:rsid w:val="00A26BD0"/>
    <w:rsid w:val="00A2781F"/>
    <w:rsid w:val="00A30EB8"/>
    <w:rsid w:val="00A31043"/>
    <w:rsid w:val="00A31E66"/>
    <w:rsid w:val="00A328DA"/>
    <w:rsid w:val="00A32DBC"/>
    <w:rsid w:val="00A33E4A"/>
    <w:rsid w:val="00A368E9"/>
    <w:rsid w:val="00A371FA"/>
    <w:rsid w:val="00A37A66"/>
    <w:rsid w:val="00A40AD6"/>
    <w:rsid w:val="00A41899"/>
    <w:rsid w:val="00A45428"/>
    <w:rsid w:val="00A4626E"/>
    <w:rsid w:val="00A4697B"/>
    <w:rsid w:val="00A471C4"/>
    <w:rsid w:val="00A47A1D"/>
    <w:rsid w:val="00A47A54"/>
    <w:rsid w:val="00A51FC5"/>
    <w:rsid w:val="00A545E3"/>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438D"/>
    <w:rsid w:val="00AA5311"/>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B009C4"/>
    <w:rsid w:val="00B00C96"/>
    <w:rsid w:val="00B01DB5"/>
    <w:rsid w:val="00B040E9"/>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2710"/>
    <w:rsid w:val="00B4397A"/>
    <w:rsid w:val="00B5171E"/>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3A0E"/>
    <w:rsid w:val="00BA3D0B"/>
    <w:rsid w:val="00BA46FD"/>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6E6E"/>
    <w:rsid w:val="00C37ED2"/>
    <w:rsid w:val="00C42ED0"/>
    <w:rsid w:val="00C43D0A"/>
    <w:rsid w:val="00C44D97"/>
    <w:rsid w:val="00C44FE3"/>
    <w:rsid w:val="00C50936"/>
    <w:rsid w:val="00C511E0"/>
    <w:rsid w:val="00C516E6"/>
    <w:rsid w:val="00C52045"/>
    <w:rsid w:val="00C52AF3"/>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2128"/>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255A"/>
    <w:rsid w:val="00E63323"/>
    <w:rsid w:val="00E64767"/>
    <w:rsid w:val="00E65EE0"/>
    <w:rsid w:val="00E66160"/>
    <w:rsid w:val="00E67F31"/>
    <w:rsid w:val="00E70DE5"/>
    <w:rsid w:val="00E71E31"/>
    <w:rsid w:val="00E725B1"/>
    <w:rsid w:val="00E73012"/>
    <w:rsid w:val="00E74057"/>
    <w:rsid w:val="00E754E4"/>
    <w:rsid w:val="00E76B97"/>
    <w:rsid w:val="00E777F8"/>
    <w:rsid w:val="00E8266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8C7"/>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6A5D"/>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4943EB"/>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111.vsd"/><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D11A4-DC50-450C-9CB2-65BAEC75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2054</Words>
  <Characters>11709</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2</cp:revision>
  <cp:lastPrinted>2012-03-15T10:36:00Z</cp:lastPrinted>
  <dcterms:created xsi:type="dcterms:W3CDTF">2019-01-11T08:09:00Z</dcterms:created>
  <dcterms:modified xsi:type="dcterms:W3CDTF">2019-01-11T08:09:00Z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